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LUIS CARLOS COSTA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seja realizado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estudo técnico visando à viabilização da instalação de novos reservatórios em pontos estratégicos do Município de Três Passos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a fim de garantir maior constância e segurança no abastecimento de água à população.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busca contribuir de forma preventiva e planejada para o enfrentamento dos recorrentes episódios de falta de água registrados na cidade, especialmente em períodos de estiagem ou instabilidade no sistema de fornecimento.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realização de estudo técnico permitirá identificar as áreas com maior vulnerabilidade hídrica, possibilitando que a Administração Municipal adote medidas estruturantes e de médio e longo prazo, com critérios técnicos, eficiência e racionalidade na aplicação dos recursos públicos.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Assim, entende-se oportuno que o Poder Executivo avalie a conveniência da iniciativa, integrando-a ao planejamento municipal de infraestrutura e gestão de recursos hídricos.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Trata-se de proposição construtiva, apresentada com o intuito de colaborar com a Administração Municipal na busca de soluções que assegurem maior tranquilidade e qualidade de vida à população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>Três Passos, 3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Luis Carlos Costa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Flavio Habitzreiter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LibreOffice/25.2.7.2$Windows_X86_64 LibreOffice_project/5cbfd1ab6520636bb5f7b99185aa69bd7456825d</Application>
  <AppVersion>15.0000</AppVersion>
  <Pages>1</Pages>
  <Words>276</Words>
  <Characters>1627</Characters>
  <CharactersWithSpaces>1892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2026-03-03T10:13:42Z</cp:lastPrinted>
  <dcterms:modified xsi:type="dcterms:W3CDTF">2026-03-03T10:14:12Z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