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422" w:rsidRDefault="000A45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1024890</wp:posOffset>
                </wp:positionH>
                <wp:positionV relativeFrom="paragraph">
                  <wp:posOffset>-5715</wp:posOffset>
                </wp:positionV>
                <wp:extent cx="4655820" cy="842010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160" cy="84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60422" w:rsidRDefault="000A458D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:rsidR="00C60422" w:rsidRDefault="000A458D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C60422" w:rsidRDefault="000A458D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:rsidR="00C60422" w:rsidRDefault="00C60422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6" style="position:absolute;margin-left:80.7pt;margin-top:-.45pt;width:366.6pt;height:66.3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" stroked="f">
                <v:textbox>
                  <w:txbxContent>
                    <w:p w:rsidR="00C60422" w:rsidRDefault="000A458D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 w:rsidR="00C60422" w:rsidRDefault="000A458D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 w:rsidR="00C60422" w:rsidRDefault="000A458D">
                      <w:pPr>
                        <w:pStyle w:val="Contedodoquadro"/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COMISSÃO DE CONSTITUIÇÃO, REDAÇÃO E BEM-ESTAR SOCIAL</w:t>
                      </w:r>
                    </w:p>
                    <w:p w:rsidR="00C60422" w:rsidRDefault="00C60422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0422" w:rsidRDefault="00C60422">
      <w:pPr>
        <w:rPr>
          <w:rFonts w:ascii="Arial" w:hAnsi="Arial" w:cs="Arial"/>
          <w:sz w:val="24"/>
          <w:szCs w:val="24"/>
        </w:rPr>
      </w:pPr>
    </w:p>
    <w:p w:rsidR="00C60422" w:rsidRDefault="000A458D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60422" w:rsidRDefault="000A458D">
      <w:pPr>
        <w:spacing w:after="0"/>
        <w:jc w:val="center"/>
      </w:pPr>
      <w:r w:rsidRPr="00753CA0">
        <w:rPr>
          <w:rFonts w:ascii="Arial" w:hAnsi="Arial" w:cs="Arial"/>
          <w:b/>
          <w:sz w:val="24"/>
          <w:szCs w:val="24"/>
        </w:rPr>
        <w:t>Ata da Reunião Extraordinária n</w:t>
      </w:r>
      <w:r w:rsidRPr="00753CA0">
        <w:rPr>
          <w:rFonts w:ascii="Arial" w:hAnsi="Arial" w:cs="Arial"/>
          <w:b/>
          <w:strike/>
          <w:sz w:val="24"/>
          <w:szCs w:val="24"/>
        </w:rPr>
        <w:t>º</w:t>
      </w:r>
      <w:r w:rsidR="00206EF4" w:rsidRPr="00753CA0">
        <w:rPr>
          <w:rFonts w:ascii="Arial" w:hAnsi="Arial" w:cs="Arial"/>
          <w:b/>
          <w:sz w:val="24"/>
          <w:szCs w:val="24"/>
        </w:rPr>
        <w:t xml:space="preserve"> 8</w:t>
      </w:r>
      <w:r w:rsidRPr="00753CA0">
        <w:rPr>
          <w:rFonts w:ascii="Arial" w:hAnsi="Arial" w:cs="Arial"/>
          <w:b/>
          <w:sz w:val="24"/>
          <w:szCs w:val="24"/>
        </w:rPr>
        <w:t>/2019</w:t>
      </w:r>
    </w:p>
    <w:p w:rsidR="00C60422" w:rsidRDefault="00C6042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7589" w:rsidRPr="00B57589" w:rsidRDefault="000A458D" w:rsidP="00B57589">
      <w:pPr>
        <w:spacing w:after="0"/>
        <w:jc w:val="both"/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</w:pPr>
      <w:r w:rsidRPr="00032146">
        <w:rPr>
          <w:rFonts w:ascii="Arial" w:hAnsi="Arial" w:cs="Arial"/>
          <w:sz w:val="24"/>
          <w:szCs w:val="24"/>
        </w:rPr>
        <w:t xml:space="preserve">Aos </w:t>
      </w:r>
      <w:r w:rsidR="00206EF4" w:rsidRPr="00032146">
        <w:rPr>
          <w:rFonts w:ascii="Arial" w:hAnsi="Arial" w:cs="Arial"/>
          <w:sz w:val="24"/>
          <w:szCs w:val="24"/>
        </w:rPr>
        <w:t>dezenove</w:t>
      </w:r>
      <w:r w:rsidRPr="00032146">
        <w:rPr>
          <w:rFonts w:ascii="Arial" w:hAnsi="Arial" w:cs="Arial"/>
          <w:sz w:val="24"/>
          <w:szCs w:val="24"/>
        </w:rPr>
        <w:t xml:space="preserve"> dias do mês de </w:t>
      </w:r>
      <w:r w:rsidR="00300620" w:rsidRPr="00032146">
        <w:rPr>
          <w:rFonts w:ascii="Arial" w:hAnsi="Arial" w:cs="Arial"/>
          <w:sz w:val="24"/>
          <w:szCs w:val="24"/>
        </w:rPr>
        <w:t>dezembro</w:t>
      </w:r>
      <w:r w:rsidRPr="00032146">
        <w:rPr>
          <w:rFonts w:ascii="Arial" w:hAnsi="Arial" w:cs="Arial"/>
          <w:sz w:val="24"/>
          <w:szCs w:val="24"/>
        </w:rPr>
        <w:t xml:space="preserve"> do ano de dois mil e dezenove, fez-se presente no Plenário da Câmara Municipal de Três Passos, às </w:t>
      </w:r>
      <w:r w:rsidR="000C15E8" w:rsidRPr="00032146">
        <w:rPr>
          <w:rFonts w:ascii="Arial" w:hAnsi="Arial" w:cs="Arial"/>
          <w:sz w:val="24"/>
          <w:szCs w:val="24"/>
        </w:rPr>
        <w:t>13</w:t>
      </w:r>
      <w:r w:rsidRPr="00032146">
        <w:rPr>
          <w:rFonts w:ascii="Arial" w:hAnsi="Arial" w:cs="Arial"/>
          <w:sz w:val="24"/>
          <w:szCs w:val="24"/>
        </w:rPr>
        <w:t>h, o</w:t>
      </w:r>
      <w:r w:rsidR="00300620" w:rsidRPr="00032146">
        <w:rPr>
          <w:rFonts w:ascii="Arial" w:hAnsi="Arial" w:cs="Arial"/>
          <w:sz w:val="24"/>
          <w:szCs w:val="24"/>
        </w:rPr>
        <w:t>s</w:t>
      </w:r>
      <w:r w:rsidRPr="00032146">
        <w:rPr>
          <w:rFonts w:ascii="Arial" w:hAnsi="Arial" w:cs="Arial"/>
          <w:sz w:val="24"/>
          <w:szCs w:val="24"/>
        </w:rPr>
        <w:t xml:space="preserve"> vereado</w:t>
      </w:r>
      <w:r w:rsidR="00300620" w:rsidRPr="00032146">
        <w:rPr>
          <w:rFonts w:ascii="Arial" w:hAnsi="Arial" w:cs="Arial"/>
          <w:sz w:val="24"/>
          <w:szCs w:val="24"/>
        </w:rPr>
        <w:t>res Flavio</w:t>
      </w:r>
      <w:r w:rsidR="00F8546C" w:rsidRPr="000321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546C" w:rsidRPr="00032146">
        <w:rPr>
          <w:rFonts w:ascii="Arial" w:hAnsi="Arial" w:cs="Arial"/>
          <w:sz w:val="24"/>
          <w:szCs w:val="24"/>
        </w:rPr>
        <w:t>Habitzreiter</w:t>
      </w:r>
      <w:proofErr w:type="spellEnd"/>
      <w:r w:rsidR="00F8546C" w:rsidRPr="00032146">
        <w:rPr>
          <w:rFonts w:ascii="Arial" w:hAnsi="Arial" w:cs="Arial"/>
          <w:sz w:val="24"/>
          <w:szCs w:val="24"/>
        </w:rPr>
        <w:t xml:space="preserve">, </w:t>
      </w:r>
      <w:r w:rsidR="00032146" w:rsidRPr="00032146">
        <w:rPr>
          <w:rFonts w:ascii="Arial" w:hAnsi="Arial" w:cs="Arial"/>
          <w:sz w:val="24"/>
          <w:szCs w:val="24"/>
        </w:rPr>
        <w:t xml:space="preserve">Jair </w:t>
      </w:r>
      <w:proofErr w:type="spellStart"/>
      <w:r w:rsidR="00032146" w:rsidRPr="00032146">
        <w:rPr>
          <w:rFonts w:ascii="Arial" w:hAnsi="Arial" w:cs="Arial"/>
          <w:sz w:val="24"/>
          <w:szCs w:val="24"/>
        </w:rPr>
        <w:t>Locatelli</w:t>
      </w:r>
      <w:proofErr w:type="spellEnd"/>
      <w:r w:rsidR="00F8546C" w:rsidRPr="00032146">
        <w:rPr>
          <w:rFonts w:ascii="Arial" w:hAnsi="Arial" w:cs="Arial"/>
          <w:sz w:val="24"/>
          <w:szCs w:val="24"/>
        </w:rPr>
        <w:t xml:space="preserve"> e</w:t>
      </w:r>
      <w:r w:rsidRPr="00032146">
        <w:rPr>
          <w:rFonts w:ascii="Arial" w:hAnsi="Arial" w:cs="Arial"/>
          <w:sz w:val="24"/>
          <w:szCs w:val="24"/>
        </w:rPr>
        <w:t xml:space="preserve"> Willian </w:t>
      </w:r>
      <w:proofErr w:type="spellStart"/>
      <w:r w:rsidRPr="00032146">
        <w:rPr>
          <w:rFonts w:ascii="Arial" w:hAnsi="Arial" w:cs="Arial"/>
          <w:sz w:val="24"/>
          <w:szCs w:val="24"/>
        </w:rPr>
        <w:t>Heineck</w:t>
      </w:r>
      <w:proofErr w:type="spellEnd"/>
      <w:r w:rsidRPr="0003214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LEITURA SUMÁRIA DO EXPEDIENTE</w:t>
      </w:r>
      <w:r>
        <w:rPr>
          <w:rFonts w:ascii="Arial" w:hAnsi="Arial" w:cs="Arial"/>
          <w:b/>
          <w:sz w:val="24"/>
          <w:szCs w:val="24"/>
        </w:rPr>
        <w:t>:</w:t>
      </w:r>
      <w:r w:rsidR="000610C9">
        <w:rPr>
          <w:rFonts w:ascii="Arial" w:hAnsi="Arial" w:cs="Arial"/>
          <w:b/>
          <w:sz w:val="24"/>
          <w:szCs w:val="24"/>
        </w:rPr>
        <w:t xml:space="preserve"> 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0610C9" w:rsidRPr="000610C9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 xml:space="preserve"> 100/19</w:t>
      </w:r>
      <w:r w:rsidR="000610C9" w:rsidRPr="000610C9">
        <w:rPr>
          <w:rFonts w:ascii="Arial" w:hAnsi="Arial" w:cs="Arial"/>
          <w:color w:val="000000"/>
          <w:sz w:val="24"/>
          <w:szCs w:val="24"/>
        </w:rPr>
        <w:t xml:space="preserve"> – Altera Lei Municipal 4.840, de 15 de outubro de 2013, que consolida a legislação sobre a política municipal dos Direitos da Criança e Adolescentes, sobre o Conselho Municipal, o Fundo e o conselho Tutelar; 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0610C9" w:rsidRPr="000610C9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0610C9" w:rsidRPr="000610C9">
        <w:rPr>
          <w:rFonts w:ascii="Arial" w:hAnsi="Arial" w:cs="Arial"/>
          <w:color w:val="212529"/>
          <w:sz w:val="24"/>
          <w:szCs w:val="24"/>
          <w:u w:val="single"/>
        </w:rPr>
        <w:t>101/19</w:t>
      </w:r>
      <w:r w:rsidR="000610C9" w:rsidRPr="000610C9">
        <w:rPr>
          <w:rFonts w:ascii="Arial" w:hAnsi="Arial" w:cs="Arial"/>
          <w:color w:val="212529"/>
          <w:sz w:val="24"/>
          <w:szCs w:val="24"/>
        </w:rPr>
        <w:t xml:space="preserve"> – Dispõe sobre as gratificações mensais no âmbito do município de Três Passos; 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0610C9" w:rsidRPr="000610C9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0610C9" w:rsidRPr="000610C9">
        <w:rPr>
          <w:rFonts w:ascii="Arial" w:hAnsi="Arial" w:cs="Arial"/>
          <w:color w:val="212529"/>
          <w:sz w:val="24"/>
          <w:szCs w:val="24"/>
          <w:u w:val="single"/>
        </w:rPr>
        <w:t>108/19</w:t>
      </w:r>
      <w:r w:rsidR="000610C9" w:rsidRPr="000610C9">
        <w:rPr>
          <w:rFonts w:ascii="Arial" w:hAnsi="Arial" w:cs="Arial"/>
          <w:color w:val="212529"/>
          <w:sz w:val="24"/>
          <w:szCs w:val="24"/>
        </w:rPr>
        <w:t xml:space="preserve"> – Dispõe sobre as estrutura administrativa do município de Três Passos e altera a Lei Municipal n</w:t>
      </w:r>
      <w:r w:rsidR="000610C9" w:rsidRPr="000610C9">
        <w:rPr>
          <w:rFonts w:ascii="Arial" w:hAnsi="Arial" w:cs="Arial"/>
          <w:strike/>
          <w:color w:val="212529"/>
          <w:sz w:val="24"/>
          <w:szCs w:val="24"/>
        </w:rPr>
        <w:t>º</w:t>
      </w:r>
      <w:r w:rsidR="000610C9" w:rsidRPr="000610C9">
        <w:rPr>
          <w:rFonts w:ascii="Arial" w:hAnsi="Arial" w:cs="Arial"/>
          <w:color w:val="212529"/>
          <w:sz w:val="24"/>
          <w:szCs w:val="24"/>
        </w:rPr>
        <w:t xml:space="preserve"> 5.946, </w:t>
      </w:r>
      <w:r w:rsidR="005966A8">
        <w:rPr>
          <w:rFonts w:ascii="Arial" w:hAnsi="Arial" w:cs="Arial"/>
          <w:color w:val="212529"/>
          <w:sz w:val="24"/>
          <w:szCs w:val="24"/>
        </w:rPr>
        <w:t xml:space="preserve">de 17 de setembro de 2019; </w:t>
      </w:r>
      <w:r w:rsidR="005966A8" w:rsidRPr="000610C9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5966A8" w:rsidRPr="000610C9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5966A8" w:rsidRPr="000610C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5966A8">
        <w:rPr>
          <w:rFonts w:ascii="Arial" w:hAnsi="Arial" w:cs="Arial"/>
          <w:color w:val="212529"/>
          <w:sz w:val="24"/>
          <w:szCs w:val="24"/>
          <w:u w:val="single"/>
        </w:rPr>
        <w:t>109</w:t>
      </w:r>
      <w:r w:rsidR="005966A8" w:rsidRPr="000610C9">
        <w:rPr>
          <w:rFonts w:ascii="Arial" w:hAnsi="Arial" w:cs="Arial"/>
          <w:color w:val="212529"/>
          <w:sz w:val="24"/>
          <w:szCs w:val="24"/>
          <w:u w:val="single"/>
        </w:rPr>
        <w:t>/19</w:t>
      </w:r>
      <w:r w:rsidR="005966A8" w:rsidRPr="000610C9">
        <w:rPr>
          <w:rFonts w:ascii="Arial" w:hAnsi="Arial" w:cs="Arial"/>
          <w:color w:val="212529"/>
          <w:sz w:val="24"/>
          <w:szCs w:val="24"/>
        </w:rPr>
        <w:t xml:space="preserve"> –</w:t>
      </w:r>
      <w:r w:rsidR="005966A8">
        <w:rPr>
          <w:rFonts w:ascii="Arial" w:hAnsi="Arial" w:cs="Arial"/>
          <w:color w:val="212529"/>
          <w:sz w:val="24"/>
          <w:szCs w:val="24"/>
        </w:rPr>
        <w:t xml:space="preserve"> </w:t>
      </w:r>
      <w:r w:rsidR="005966A8" w:rsidRPr="005966A8">
        <w:rPr>
          <w:rFonts w:ascii="Arial" w:hAnsi="Arial" w:cs="Arial"/>
          <w:color w:val="212529"/>
          <w:sz w:val="24"/>
          <w:szCs w:val="24"/>
        </w:rPr>
        <w:t>Altera a Lei Municipal nº 5.002, de 21 de outubro de 2014</w:t>
      </w:r>
      <w:r w:rsidR="005966A8">
        <w:rPr>
          <w:rFonts w:ascii="Arial" w:hAnsi="Arial" w:cs="Arial"/>
          <w:color w:val="212529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LEITURA, DISCUSSÃO E VOTAÇÃO DOS REQUERIMENTOS, RELATÓRIOS E PARECERES</w:t>
      </w:r>
      <w:r w:rsidR="00300620">
        <w:rPr>
          <w:rFonts w:ascii="Arial" w:hAnsi="Arial" w:cs="Arial"/>
          <w:b/>
          <w:sz w:val="24"/>
          <w:szCs w:val="24"/>
        </w:rPr>
        <w:t>:</w:t>
      </w:r>
      <w:r w:rsidR="000610C9">
        <w:rPr>
          <w:rFonts w:ascii="Arial" w:hAnsi="Arial" w:cs="Arial"/>
          <w:b/>
          <w:sz w:val="24"/>
          <w:szCs w:val="24"/>
        </w:rPr>
        <w:t xml:space="preserve"> </w:t>
      </w:r>
      <w:r w:rsidR="005966A8" w:rsidRPr="000610C9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5966A8" w:rsidRPr="000610C9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5966A8" w:rsidRPr="000610C9">
        <w:rPr>
          <w:rFonts w:ascii="Arial" w:hAnsi="Arial" w:cs="Arial"/>
          <w:color w:val="000000"/>
          <w:sz w:val="24"/>
          <w:szCs w:val="24"/>
          <w:u w:val="single"/>
        </w:rPr>
        <w:t xml:space="preserve"> 100/19</w:t>
      </w:r>
      <w:r w:rsidR="005966A8" w:rsidRPr="000610C9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007657">
        <w:rPr>
          <w:rFonts w:ascii="Arial" w:hAnsi="Arial" w:cs="Arial"/>
          <w:color w:val="000000"/>
          <w:sz w:val="24"/>
          <w:szCs w:val="24"/>
        </w:rPr>
        <w:t xml:space="preserve">Este projeto permanece na comissão a fim de que seja discutido após o recesso parlamentar; </w:t>
      </w:r>
      <w:r w:rsidR="00007657" w:rsidRPr="00007657">
        <w:rPr>
          <w:rFonts w:ascii="Arial" w:hAnsi="Arial" w:cs="Arial"/>
          <w:color w:val="000000"/>
          <w:sz w:val="24"/>
          <w:szCs w:val="24"/>
          <w:u w:val="single"/>
        </w:rPr>
        <w:t xml:space="preserve">projeto </w:t>
      </w:r>
      <w:r w:rsidR="005966A8" w:rsidRPr="000610C9">
        <w:rPr>
          <w:rFonts w:ascii="Arial" w:hAnsi="Arial" w:cs="Arial"/>
          <w:color w:val="000000"/>
          <w:sz w:val="24"/>
          <w:szCs w:val="24"/>
          <w:u w:val="single"/>
        </w:rPr>
        <w:t>de lei n</w:t>
      </w:r>
      <w:r w:rsidR="005966A8" w:rsidRPr="000610C9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5966A8" w:rsidRPr="000610C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5966A8" w:rsidRPr="000610C9">
        <w:rPr>
          <w:rFonts w:ascii="Arial" w:hAnsi="Arial" w:cs="Arial"/>
          <w:color w:val="212529"/>
          <w:sz w:val="24"/>
          <w:szCs w:val="24"/>
          <w:u w:val="single"/>
        </w:rPr>
        <w:t>101/19</w:t>
      </w:r>
      <w:r w:rsidR="005966A8" w:rsidRPr="000610C9">
        <w:rPr>
          <w:rFonts w:ascii="Arial" w:hAnsi="Arial" w:cs="Arial"/>
          <w:color w:val="212529"/>
          <w:sz w:val="24"/>
          <w:szCs w:val="24"/>
        </w:rPr>
        <w:t xml:space="preserve"> – </w:t>
      </w:r>
      <w:r w:rsidR="009106CD">
        <w:rPr>
          <w:rFonts w:ascii="Arial" w:hAnsi="Arial" w:cs="Arial"/>
          <w:color w:val="212529"/>
          <w:sz w:val="24"/>
          <w:szCs w:val="24"/>
        </w:rPr>
        <w:t xml:space="preserve">A orientação técnica opinou pela viabilidade jurídica do projeto e o relator Willian Heineck considerou o mesmo apto para ir à votação, oportunidade em que foi seguido em seu posicionamento pelos demais membros; </w:t>
      </w:r>
      <w:r w:rsidR="000610C9" w:rsidRPr="001A4102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0610C9" w:rsidRPr="001A4102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610C9" w:rsidRPr="001A4102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0610C9" w:rsidRPr="001A4102">
        <w:rPr>
          <w:rFonts w:ascii="Arial" w:hAnsi="Arial" w:cs="Arial"/>
          <w:color w:val="212529"/>
          <w:sz w:val="24"/>
          <w:szCs w:val="24"/>
          <w:u w:val="single"/>
        </w:rPr>
        <w:t>108/19</w:t>
      </w:r>
      <w:r w:rsidR="000610C9" w:rsidRPr="001A4102">
        <w:rPr>
          <w:rFonts w:ascii="Arial" w:hAnsi="Arial" w:cs="Arial"/>
          <w:color w:val="212529"/>
          <w:sz w:val="24"/>
          <w:szCs w:val="24"/>
        </w:rPr>
        <w:t xml:space="preserve"> – </w:t>
      </w:r>
      <w:r w:rsidR="00206EF4" w:rsidRPr="001A4102">
        <w:rPr>
          <w:rFonts w:ascii="Arial" w:hAnsi="Arial" w:cs="Arial"/>
          <w:color w:val="212529"/>
          <w:sz w:val="24"/>
          <w:szCs w:val="24"/>
        </w:rPr>
        <w:t>Após o recebimento das explicações do Executivo, bem como a mensagem retificativa, o relator considerou o projeto apto a ir para votação e foi seguido em seu posicionamento p</w:t>
      </w:r>
      <w:r w:rsidR="001A4102">
        <w:rPr>
          <w:rFonts w:ascii="Arial" w:hAnsi="Arial" w:cs="Arial"/>
          <w:color w:val="212529"/>
          <w:sz w:val="24"/>
          <w:szCs w:val="24"/>
        </w:rPr>
        <w:t xml:space="preserve">elos demais membros da comissão; </w:t>
      </w:r>
      <w:r w:rsidR="005966A8" w:rsidRPr="000610C9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5966A8" w:rsidRPr="000610C9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5966A8" w:rsidRPr="000610C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5966A8">
        <w:rPr>
          <w:rFonts w:ascii="Arial" w:hAnsi="Arial" w:cs="Arial"/>
          <w:color w:val="212529"/>
          <w:sz w:val="24"/>
          <w:szCs w:val="24"/>
          <w:u w:val="single"/>
        </w:rPr>
        <w:t>109</w:t>
      </w:r>
      <w:r w:rsidR="005966A8" w:rsidRPr="000610C9">
        <w:rPr>
          <w:rFonts w:ascii="Arial" w:hAnsi="Arial" w:cs="Arial"/>
          <w:color w:val="212529"/>
          <w:sz w:val="24"/>
          <w:szCs w:val="24"/>
          <w:u w:val="single"/>
        </w:rPr>
        <w:t>/19</w:t>
      </w:r>
      <w:r w:rsidR="005966A8" w:rsidRPr="000610C9">
        <w:rPr>
          <w:rFonts w:ascii="Arial" w:hAnsi="Arial" w:cs="Arial"/>
          <w:color w:val="212529"/>
          <w:sz w:val="24"/>
          <w:szCs w:val="24"/>
        </w:rPr>
        <w:t xml:space="preserve"> –</w:t>
      </w:r>
      <w:r w:rsidR="00215F27">
        <w:rPr>
          <w:rFonts w:ascii="Arial" w:hAnsi="Arial" w:cs="Arial"/>
          <w:color w:val="212529"/>
          <w:sz w:val="24"/>
          <w:szCs w:val="24"/>
        </w:rPr>
        <w:t xml:space="preserve"> </w:t>
      </w:r>
      <w:r w:rsidR="00B37C3D">
        <w:rPr>
          <w:rFonts w:ascii="Arial" w:hAnsi="Arial" w:cs="Arial"/>
          <w:color w:val="212529"/>
          <w:sz w:val="24"/>
          <w:szCs w:val="24"/>
        </w:rPr>
        <w:t>A orientação técnica explicou que o presente projeto</w:t>
      </w:r>
      <w:r w:rsidR="00B37C3D" w:rsidRPr="000541DC">
        <w:rPr>
          <w:rFonts w:ascii="Arial" w:hAnsi="Arial" w:cs="Arial"/>
          <w:color w:val="212529"/>
          <w:sz w:val="24"/>
          <w:szCs w:val="24"/>
        </w:rPr>
        <w:t xml:space="preserve"> </w:t>
      </w:r>
      <w:r w:rsidR="00B37C3D" w:rsidRPr="00B37C3D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respeita os requisitos formais da proposição, </w:t>
      </w:r>
      <w:r w:rsidR="00B37C3D" w:rsidRPr="000541DC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>bem como não possui</w:t>
      </w:r>
      <w:r w:rsidR="00B37C3D" w:rsidRPr="00B37C3D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 vício de iniciativa, posto que constitui atribuição do Prefeito dispor sobre a previdência do servidor público efetivo, vinculado ao regime próprio de previdência, nos termos do inciso III do art. 87 da Lei Orgânica Municipal de Três Passos, combinado com o art. 61, §1º, II, c, da CF, por simetria.</w:t>
      </w:r>
      <w:r w:rsidR="00B37C3D" w:rsidRPr="000541DC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 Destacou que a proposição busca a adequação da legislação às alterações trazidas pela Emenda Constitucional nº 102 de 2019. Quanto a técnica legislativa o Executivo já enviou mensagem retificativa modificando </w:t>
      </w:r>
      <w:r w:rsidR="000541DC" w:rsidRPr="000541DC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>a data</w:t>
      </w:r>
      <w:r w:rsidR="00B37C3D" w:rsidRPr="000541DC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 de vigência.</w:t>
      </w:r>
      <w:r w:rsidR="000541DC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 Opinou pela</w:t>
      </w:r>
      <w:r w:rsidR="00B57589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 viabilidade técnica do projeto. </w:t>
      </w:r>
      <w:r w:rsidR="00B57589" w:rsidRPr="00B57589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Foram convidados a participar do debate da matéria na reunião das comissões extraordinária </w:t>
      </w:r>
      <w:r w:rsidR="00B57589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os </w:t>
      </w:r>
      <w:r w:rsidR="00B57589" w:rsidRPr="00B57589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representantes do Executivo Municipal, representantes do Sindicato dos </w:t>
      </w:r>
      <w:proofErr w:type="spellStart"/>
      <w:r w:rsidR="00B57589" w:rsidRPr="00B57589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>Municipários</w:t>
      </w:r>
      <w:proofErr w:type="spellEnd"/>
      <w:r w:rsidR="00B57589" w:rsidRPr="00B57589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>, bem como os representantes do Instituto de Servidores Pú</w:t>
      </w:r>
      <w:r w:rsidR="00B57589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blicos de Três Passos (IPSTP). </w:t>
      </w:r>
      <w:r w:rsidR="00B57589" w:rsidRPr="00B57589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>O IPSTP encaminhou ofício, por meio de sua diretora, Ivete Maria Link Beck, informando que não vislumbraram a necessidade de participar da discussão do projeto, pois entendem que o mesmo é uma</w:t>
      </w:r>
      <w:r w:rsidR="00B57589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 adaptação a uma lei superior. </w:t>
      </w:r>
      <w:r w:rsidR="00B57589" w:rsidRPr="00B57589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A Procuradora do Município, </w:t>
      </w:r>
      <w:proofErr w:type="spellStart"/>
      <w:r w:rsidR="00B57589" w:rsidRPr="00B57589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>Geciana</w:t>
      </w:r>
      <w:proofErr w:type="spellEnd"/>
      <w:r w:rsidR="00B57589" w:rsidRPr="00B57589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 </w:t>
      </w:r>
      <w:proofErr w:type="spellStart"/>
      <w:r w:rsidR="00B57589" w:rsidRPr="00B57589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>Seffrin</w:t>
      </w:r>
      <w:proofErr w:type="spellEnd"/>
      <w:r w:rsidR="00B57589" w:rsidRPr="00B57589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, bem como o Secretário de Finanças, Lucas </w:t>
      </w:r>
      <w:proofErr w:type="spellStart"/>
      <w:r w:rsidR="00B57589" w:rsidRPr="00B57589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>Neckel</w:t>
      </w:r>
      <w:proofErr w:type="spellEnd"/>
      <w:r w:rsidR="00B57589" w:rsidRPr="00B57589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, compareceram na reunião e destacaram que a proposição somente está cumprimento determinação de legislação federal. Por fim, esclareceram que embora a Portaria 1348/2019 do Ministério da Economia e da Secretária Especial de Previdência e do Trabalho estabeleceu como prazo final de adequação da alíquota a data de 31 de julho de 2020, a alteração neste ano permitirá sua repercussão na avaliação atuarial. Dessa forma, com a aprovação esse ano e após a realização do devido cálculo atuarial, o Executivo pretende conceder um aumento real, no ano que vem, em patamar que, pelo menos, minimize a repercussão negativa do aumento da alíquota previdenciária na remuneração do servidor municipal. </w:t>
      </w:r>
    </w:p>
    <w:p w:rsidR="00753CA0" w:rsidRDefault="00B57589" w:rsidP="00B57589">
      <w:pPr>
        <w:spacing w:after="0"/>
        <w:jc w:val="both"/>
      </w:pPr>
      <w:r w:rsidRPr="00B57589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lastRenderedPageBreak/>
        <w:t xml:space="preserve">A Presidente do Sindicato dos </w:t>
      </w:r>
      <w:proofErr w:type="spellStart"/>
      <w:r w:rsidRPr="00B57589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>Municipários</w:t>
      </w:r>
      <w:proofErr w:type="spellEnd"/>
      <w:r w:rsidRPr="00B57589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, professora </w:t>
      </w:r>
      <w:proofErr w:type="spellStart"/>
      <w:r w:rsidRPr="00B57589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>Nelita</w:t>
      </w:r>
      <w:proofErr w:type="spellEnd"/>
      <w:r w:rsidRPr="00B57589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 Real, bem como o </w:t>
      </w:r>
      <w:proofErr w:type="spellStart"/>
      <w:r w:rsidRPr="00B57589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>vice-presiente</w:t>
      </w:r>
      <w:proofErr w:type="spellEnd"/>
      <w:r w:rsidRPr="00B57589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>, Luiz Eduardo Nunes da Silva afirmaram, em suma, que concordam com a aprovação do Projeto de Lei, já que se trata de uma adaptação à legislação superior e solicitaram o comprometimento do Executivo em proporcionar, no próximo ano, um aumento real condizente com a nova realidade da remuneração dos</w:t>
      </w:r>
      <w:r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 servidores públicos municipais</w:t>
      </w:r>
      <w:r w:rsidRPr="00B57589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. </w:t>
      </w:r>
      <w:r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>Após o amplo debate o</w:t>
      </w:r>
      <w:r w:rsidR="00007657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 relator Willian </w:t>
      </w:r>
      <w:proofErr w:type="spellStart"/>
      <w:r w:rsidR="00007657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>Heineck</w:t>
      </w:r>
      <w:proofErr w:type="spellEnd"/>
      <w:r w:rsidR="00007657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 considerou o projeto apto para ir à votação e foi seguido pelos demais membros</w:t>
      </w:r>
      <w:bookmarkStart w:id="0" w:name="_GoBack"/>
      <w:bookmarkEnd w:id="0"/>
      <w:r w:rsidR="00007657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. </w:t>
      </w:r>
      <w:r w:rsidR="00753CA0">
        <w:rPr>
          <w:rFonts w:ascii="Arial" w:hAnsi="Arial" w:cs="Arial"/>
          <w:b/>
          <w:sz w:val="24"/>
          <w:szCs w:val="24"/>
        </w:rPr>
        <w:t>VOTAÇÃO DO PARECER</w:t>
      </w:r>
      <w:r w:rsidR="00753CA0">
        <w:rPr>
          <w:rFonts w:ascii="Arial" w:hAnsi="Arial" w:cs="Arial"/>
          <w:sz w:val="24"/>
          <w:szCs w:val="24"/>
        </w:rPr>
        <w:t>: aprovado por unanimidade, pela normal tramitação dos projetos de leis n</w:t>
      </w:r>
      <w:r w:rsidR="00753CA0">
        <w:rPr>
          <w:rFonts w:ascii="Arial" w:hAnsi="Arial" w:cs="Arial"/>
          <w:strike/>
          <w:sz w:val="24"/>
          <w:szCs w:val="24"/>
        </w:rPr>
        <w:t>º</w:t>
      </w:r>
      <w:r w:rsidR="00753CA0">
        <w:rPr>
          <w:rFonts w:ascii="Arial" w:hAnsi="Arial" w:cs="Arial"/>
          <w:sz w:val="24"/>
          <w:szCs w:val="24"/>
        </w:rPr>
        <w:t xml:space="preserve">s 102/19, 101/19, 108/19 e 109/19. </w:t>
      </w:r>
      <w:r w:rsidR="00753CA0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:rsidR="00B37C3D" w:rsidRPr="00B37C3D" w:rsidRDefault="00B37C3D" w:rsidP="00B37C3D">
      <w:pPr>
        <w:spacing w:after="0"/>
        <w:jc w:val="both"/>
        <w:rPr>
          <w:rFonts w:ascii="Times New Roman" w:eastAsia="Times New Roman" w:hAnsi="Times New Roman"/>
          <w:bCs/>
          <w:color w:val="auto"/>
          <w:sz w:val="24"/>
          <w:szCs w:val="24"/>
          <w:lang w:eastAsia="pt-BR"/>
        </w:rPr>
      </w:pPr>
    </w:p>
    <w:p w:rsidR="00F8546C" w:rsidRPr="007E1B96" w:rsidRDefault="00F8546C" w:rsidP="00F8546C">
      <w:pPr>
        <w:jc w:val="both"/>
      </w:pPr>
      <w:r w:rsidRPr="007E1B96">
        <w:rPr>
          <w:rFonts w:ascii="Arial" w:hAnsi="Arial" w:cs="Arial"/>
          <w:sz w:val="24"/>
          <w:szCs w:val="24"/>
        </w:rPr>
        <w:t>Presidente: Willian Heineck</w:t>
      </w:r>
      <w:r w:rsidRPr="007E1B96">
        <w:t xml:space="preserve"> _________________________________________</w:t>
      </w:r>
    </w:p>
    <w:p w:rsidR="00F8546C" w:rsidRDefault="00F8546C" w:rsidP="00F8546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546C" w:rsidRDefault="00F8546C" w:rsidP="00F8546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F6E">
        <w:rPr>
          <w:rFonts w:ascii="Arial" w:hAnsi="Arial" w:cs="Arial"/>
          <w:sz w:val="24"/>
          <w:szCs w:val="24"/>
        </w:rPr>
        <w:t>Membro: Flavio Habitzreiter _______________________</w:t>
      </w:r>
      <w:r>
        <w:rPr>
          <w:rFonts w:ascii="Arial" w:hAnsi="Arial" w:cs="Arial"/>
          <w:sz w:val="24"/>
          <w:szCs w:val="24"/>
        </w:rPr>
        <w:t>___________</w:t>
      </w:r>
    </w:p>
    <w:p w:rsidR="00F8546C" w:rsidRPr="00E84F6E" w:rsidRDefault="00F8546C" w:rsidP="00F8546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0422" w:rsidRDefault="00C60422" w:rsidP="00F8546C">
      <w:pPr>
        <w:spacing w:after="0" w:line="240" w:lineRule="auto"/>
        <w:jc w:val="both"/>
      </w:pPr>
    </w:p>
    <w:p w:rsidR="00F8546C" w:rsidRPr="00E84F6E" w:rsidRDefault="00F8546C" w:rsidP="00F8546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F6E">
        <w:rPr>
          <w:rFonts w:ascii="Arial" w:hAnsi="Arial" w:cs="Arial"/>
          <w:sz w:val="24"/>
          <w:szCs w:val="24"/>
        </w:rPr>
        <w:t xml:space="preserve">Membro: </w:t>
      </w:r>
      <w:r w:rsidR="00215F27">
        <w:rPr>
          <w:rFonts w:ascii="Arial" w:hAnsi="Arial" w:cs="Arial"/>
          <w:sz w:val="24"/>
          <w:szCs w:val="24"/>
        </w:rPr>
        <w:t xml:space="preserve">Jair </w:t>
      </w:r>
      <w:proofErr w:type="spellStart"/>
      <w:r w:rsidR="00215F27">
        <w:rPr>
          <w:rFonts w:ascii="Arial" w:hAnsi="Arial" w:cs="Arial"/>
          <w:sz w:val="24"/>
          <w:szCs w:val="24"/>
        </w:rPr>
        <w:t>Locatelli</w:t>
      </w:r>
      <w:proofErr w:type="spellEnd"/>
      <w:r w:rsidR="00215F27">
        <w:rPr>
          <w:rFonts w:ascii="Arial" w:hAnsi="Arial" w:cs="Arial"/>
          <w:sz w:val="24"/>
          <w:szCs w:val="24"/>
        </w:rPr>
        <w:t xml:space="preserve"> _______________</w:t>
      </w:r>
      <w:r w:rsidRPr="00E84F6E">
        <w:rPr>
          <w:rFonts w:ascii="Arial" w:hAnsi="Arial" w:cs="Arial"/>
          <w:sz w:val="24"/>
          <w:szCs w:val="24"/>
        </w:rPr>
        <w:t>_______________________</w:t>
      </w:r>
    </w:p>
    <w:p w:rsidR="00F8546C" w:rsidRDefault="00F8546C" w:rsidP="00F8546C">
      <w:pPr>
        <w:spacing w:after="0" w:line="240" w:lineRule="auto"/>
        <w:jc w:val="both"/>
      </w:pPr>
    </w:p>
    <w:sectPr w:rsidR="00F8546C">
      <w:pgSz w:w="11906" w:h="16838"/>
      <w:pgMar w:top="1134" w:right="1134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22"/>
    <w:rsid w:val="00007657"/>
    <w:rsid w:val="00020D9D"/>
    <w:rsid w:val="00032146"/>
    <w:rsid w:val="000541DC"/>
    <w:rsid w:val="000610C9"/>
    <w:rsid w:val="000A458D"/>
    <w:rsid w:val="000C15E8"/>
    <w:rsid w:val="00143D5A"/>
    <w:rsid w:val="0016491C"/>
    <w:rsid w:val="001A4102"/>
    <w:rsid w:val="00206EF4"/>
    <w:rsid w:val="00210422"/>
    <w:rsid w:val="00215F27"/>
    <w:rsid w:val="002202A5"/>
    <w:rsid w:val="00297AA0"/>
    <w:rsid w:val="00300620"/>
    <w:rsid w:val="00360A62"/>
    <w:rsid w:val="005966A8"/>
    <w:rsid w:val="006C38B1"/>
    <w:rsid w:val="00753CA0"/>
    <w:rsid w:val="007E1B96"/>
    <w:rsid w:val="00812AC1"/>
    <w:rsid w:val="009106CD"/>
    <w:rsid w:val="00972D35"/>
    <w:rsid w:val="00A13E9B"/>
    <w:rsid w:val="00B35C4C"/>
    <w:rsid w:val="00B37C3D"/>
    <w:rsid w:val="00B57589"/>
    <w:rsid w:val="00C60422"/>
    <w:rsid w:val="00F8546C"/>
    <w:rsid w:val="00F8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5A62"/>
  <w15:docId w15:val="{C0E8A861-87D6-4B2C-B724-90411321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709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Cristina</cp:lastModifiedBy>
  <cp:revision>9</cp:revision>
  <cp:lastPrinted>2020-01-09T11:32:00Z</cp:lastPrinted>
  <dcterms:created xsi:type="dcterms:W3CDTF">2020-01-08T14:44:00Z</dcterms:created>
  <dcterms:modified xsi:type="dcterms:W3CDTF">2020-01-28T13:33:00Z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