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EXTRA</w:t>
      </w:r>
      <w:r>
        <w:rPr>
          <w:color w:val="0000FF"/>
          <w:sz w:val="28"/>
          <w:szCs w:val="28"/>
        </w:rPr>
        <w:t xml:space="preserve">ORDINÁRIA DO DIA </w:t>
      </w:r>
      <w:r>
        <w:rPr>
          <w:color w:val="0000FF"/>
          <w:sz w:val="28"/>
          <w:szCs w:val="28"/>
        </w:rPr>
        <w:t>03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MARÇO</w:t>
      </w:r>
      <w:r>
        <w:rPr>
          <w:color w:val="0000FF"/>
          <w:sz w:val="28"/>
          <w:szCs w:val="28"/>
          <w:lang w:val="pt-BR"/>
        </w:rPr>
        <w:t xml:space="preserve"> DE 2021, </w:t>
      </w:r>
      <w:r>
        <w:rPr>
          <w:color w:val="0000FF"/>
          <w:sz w:val="28"/>
          <w:szCs w:val="28"/>
          <w:lang w:val="pt-BR"/>
        </w:rPr>
        <w:t>ÀS 9h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 xml:space="preserve">A 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REUNIÃO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 xml:space="preserve"> DE HOJE SERÁ REALIZADA DE FORMA VIRTUAL, POR MEIO DO APLICATIVO GOOGLE MEET, EM ATENDIMENTO AOS PROTOCOLOS DA BANDEIRA PRETA, DETERMINADOS PELO GOVERNO DO ESTADO, EM FUNÇÃO DA PANDEMIA DA COVID-19.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 xml:space="preserve">SOLICITAMOS AOS SENHORES VEREADORES PARA 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QUE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 xml:space="preserve"> DESLIGUEM O MICROFONE DOS SEUS CELULARES DURANTE A REUNIÃO, PARA QUE NÃO OCORRA INTERFERÊNCIA DE ÁUDIO, E SÓ LIGUEM QUANDO FOR NECESSÁRIO FAZER USO DA PALAVRA.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COMPLEMENTAR Nº 2/21 - Autoriza o Poder Executivo Municipal a proceder alteração da Lei Complementar Municipal nº 018, de 16 de agosto de 2011, que dispõe sobre o Estatuto dos Servidores Públicos Municipais.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A alteração pretendida dar-se-á com relação à regulamentação da cedência de servidores, por meio da modificação do art. 53, acrescentando a possibilidade de cedência de servidor à entidade privada sem fins lucrativos.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13/21 - Autoriza o Poder Executivo Municipal a contratar temporariamente e sob regime emergencial e de excepcional interesse público um profissional oficineiro de música e instrumentos musicais, com carga horária semanal de 12 horas e remuneração de R$ 720,00 mensais.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A contratação emergencial atualmente vigente encerrá no dia 22 de abril deste ano, fazendo-se necessária a sua renovação, por meio de lei, para haver a continuidade no  desenvolvimento do Serviço de Convivência e Fortalecimento de Vínculos do CRAS.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15/21 - Autoriza o Município de Três Passos a repassar recursos financeiros à Associação Hospital de Caridade de Três Passos/RS, no montante de R$ 70.227,00, recebido do Fundo Municipal de Saúde através de Emenda Parlamentar de custeio de Deputado Federal, para aquisição de um aparelho Gastrovideoscópio e acessórios, visando à realização do exame de endoscopia.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16/21 - Autoriza o Município de Três Passos a repassar recursos financeiros à Associação Hospital de Caridade de Três Passos/RS, no montante de R$ 669.221,55, proveniente de recursos próprios municipais, da dotação orçamentária “Reserva de Contingência”.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Este repasse é fruto de um acordo celebrado entre os Poderes Executivo e Legislativo, por meio do qual os vereadores não apresentaram emendas impositivos ao orçamento do Município para o ano de 2021.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O valor será utilizado para manter em dia a folha de pagamento dos funcionários, bem como na aquisição de materiais e medicamentos para a continuidade do atendimento do hospital.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2/21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está aguardando o levantamento de maiores informações e também o retorno de ofícios encaminhados.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13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color w:val="auto"/>
        </w:rPr>
      </w:pPr>
      <w:bookmarkStart w:id="1" w:name="_Hlk61440015"/>
      <w:bookmarkStart w:id="2" w:name="_Hlk61440148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"/>
      <w:bookmarkEnd w:id="2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15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b/>
          <w:b/>
          <w:color w:val="FF0000"/>
          <w:sz w:val="28"/>
          <w:szCs w:val="28"/>
          <w:lang w:eastAsia="x-none"/>
        </w:rPr>
      </w:pPr>
      <w:bookmarkStart w:id="3" w:name="_Hlk614400151"/>
      <w:bookmarkStart w:id="4" w:name="_Hlk61440148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3"/>
      <w:bookmarkEnd w:id="4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16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b/>
          <w:b/>
          <w:color w:val="FF0000"/>
          <w:sz w:val="28"/>
          <w:szCs w:val="28"/>
          <w:lang w:eastAsia="x-none"/>
        </w:rPr>
      </w:pPr>
      <w:bookmarkStart w:id="5" w:name="_Hlk6144001511"/>
      <w:bookmarkStart w:id="6" w:name="_Hlk61440148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5"/>
      <w:bookmarkEnd w:id="6"/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843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15pt;margin-top:0.05pt;width:10.8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LibreOffice/7.0.1.2$Windows_X86_64 LibreOffice_project/7cbcfc562f6eb6708b5ff7d7397325de9e764452</Application>
  <Pages>4</Pages>
  <Words>882</Words>
  <Characters>5802</Characters>
  <CharactersWithSpaces>6596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2021-02-25T10:52:00Z</cp:lastPrinted>
  <dcterms:modified xsi:type="dcterms:W3CDTF">2021-03-02T14:21:26Z</dcterms:modified>
  <cp:revision>106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