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18</w:t>
      </w:r>
      <w:r>
        <w:rPr>
          <w:color w:val="0000FF"/>
          <w:sz w:val="28"/>
          <w:szCs w:val="28"/>
          <w:lang w:val="pt-BR"/>
        </w:rPr>
        <w:t xml:space="preserve"> DE MARÇO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LEGISLATIVA</w:t>
      </w:r>
      <w:r>
        <w:rPr>
          <w:sz w:val="28"/>
          <w:szCs w:val="28"/>
        </w:rPr>
        <w:t xml:space="preserve"> Nº 2/21 -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tempos de crises ocasionadas por moléstias contagiosas ou catástrofes naturais.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Foram solicitadas manifestações à Procuradoria Geral do Município e à Promotoria de Justiça local, em relação ao presente projeto.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PGM respondeu no dia 15 de março último, através de e-mail, com o ofício PGM nº 11/2021.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148"/>
      <w:bookmarkStart w:id="2" w:name="_Hlk61440015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09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95pt;margin-top:0.05pt;width:11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LibreOffice/7.0.1.2$Windows_X86_64 LibreOffice_project/7cbcfc562f6eb6708b5ff7d7397325de9e764452</Application>
  <Pages>2</Pages>
  <Words>436</Words>
  <Characters>2939</Characters>
  <CharactersWithSpaces>3333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2021-03-18T13:52:12Z</dcterms:modified>
  <cp:revision>111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