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19/2022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>Aos qua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en-US" w:bidi="ar-SA"/>
        </w:rPr>
        <w:t>torze</w:t>
      </w:r>
      <w:r>
        <w:rPr>
          <w:rFonts w:cs="Arial" w:ascii="Arial" w:hAnsi="Arial"/>
        </w:rPr>
        <w:t xml:space="preserve"> dias do mês de julho de dois mil e vinte e dois, reuniram-se no Plenário da Câmara Municipal de Três Passos, às 18h, os vereadores Diego Maciel,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en-US" w:bidi="ar-SA"/>
        </w:rPr>
        <w:t>Luis da Silva e Ingomar Sandtner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  <w:bCs/>
        </w:rPr>
        <w:t>LEITURA SUMÁRIA DO EXPEDIENTE: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72/2022 -</w:t>
      </w:r>
      <w:r>
        <w:rPr>
          <w:rFonts w:cs="Arial" w:ascii="Arial" w:hAnsi="Arial"/>
        </w:rPr>
        <w:t xml:space="preserve"> Institui o Serviço Municipal de Educação Especial e Inclusiva (SMEEI);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 – </w:t>
      </w:r>
      <w:r>
        <w:rPr>
          <w:rFonts w:cs="Arial" w:ascii="Arial" w:hAnsi="Arial"/>
        </w:rPr>
        <w:t xml:space="preserve">Cria o Fundo Municipal da Cultura do Município de Três Passos (FMC); 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84/2022  - </w:t>
      </w:r>
      <w:r>
        <w:rPr>
          <w:rFonts w:cs="Arial" w:ascii="Arial" w:hAnsi="Arial"/>
        </w:rPr>
        <w:t xml:space="preserve">Autoriza o Poder Executivo a celebrar Termo de Convênio de Cooperação com o Estado do Rio Grande do Sul, por intermédio da Secretaria de Justiça e Sistemas penal e socioeducativo, com a interveniência da Superintendência dos Serviços penitenciários;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86/2022 - </w:t>
      </w:r>
      <w:r>
        <w:rPr>
          <w:rFonts w:cs="Arial" w:ascii="Arial" w:hAnsi="Arial"/>
        </w:rPr>
        <w:t xml:space="preserve">Dispõe sobre o Estacionamento Rotativo pago de veículos automotores estabelecido nas vias públicas do perímetro urbano da cidade de Três Passos; 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89/2022,</w:t>
      </w:r>
      <w:r>
        <w:rPr>
          <w:rFonts w:cs="Arial" w:ascii="Arial" w:hAnsi="Arial"/>
        </w:rPr>
        <w:t xml:space="preserve"> Altera a Lei Municipal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5404/2018, a qual dispõe sobre a concessão de gratificação em razão de atividade de condutor de veículos do transporte escolar; </w:t>
      </w:r>
      <w:r>
        <w:rPr>
          <w:rFonts w:cs="Arial" w:ascii="Arial" w:hAnsi="Arial"/>
          <w:b/>
          <w:bCs/>
        </w:rPr>
        <w:t xml:space="preserve">Projeto de Lei </w:t>
      </w:r>
      <w:r>
        <w:rPr>
          <w:rFonts w:cs="Arial" w:ascii="Arial" w:hAnsi="Arial"/>
          <w:b/>
          <w:bCs/>
        </w:rPr>
        <w:t>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90/2022</w:t>
      </w:r>
      <w:r>
        <w:rPr>
          <w:rFonts w:cs="Arial" w:ascii="Arial" w:hAnsi="Arial"/>
        </w:rPr>
        <w:t>, Autoriza o Município de Três Passos, por intermédio do Poder Executivo, a ﬁrmar convênio, acordo, ajuste e/ou instrumento congênere, em regime de mútua colaboração, com o Estado do Rio Grande do Sul por intermédio da Brigada Militar/7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Batalhão da Brigada Militar;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93/2022</w:t>
      </w:r>
      <w:r>
        <w:rPr>
          <w:rFonts w:cs="Arial" w:ascii="Arial" w:hAnsi="Arial"/>
        </w:rPr>
        <w:t xml:space="preserve">, DISPÕE SOBRE A PRESTAÇÃO DO SERVIÇO MUNICIPAL DE ÁGUA DE TRÊS PASSOS – SEMAGTP, CRIA O FUNDO MUNICIPAL DA ÁGUA;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94/2022</w:t>
      </w:r>
      <w:r>
        <w:rPr>
          <w:rFonts w:cs="Arial" w:ascii="Arial" w:hAnsi="Arial"/>
        </w:rPr>
        <w:t xml:space="preserve">, Altera a Lei Municipal 5.776, de 05 de julho de 2022, que autoriza o Poder Executivo a proceder na Contratação Emergencial de até um enfermeiro;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95/2022</w:t>
      </w:r>
      <w:r>
        <w:rPr>
          <w:rFonts w:cs="Arial" w:ascii="Arial" w:hAnsi="Arial"/>
        </w:rPr>
        <w:t xml:space="preserve">, Autoriza o Poder Executivo proceder na contratação emergencial de 04 (quatro) agentes de saúde;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96/2022</w:t>
      </w:r>
      <w:r>
        <w:rPr>
          <w:rFonts w:cs="Arial" w:ascii="Arial" w:hAnsi="Arial"/>
        </w:rPr>
        <w:t xml:space="preserve">, Dispõe sobre a denominação do auditório da saúde de Auditório Nilson Hepp. </w:t>
      </w:r>
      <w:r>
        <w:rPr>
          <w:rFonts w:cs="Arial" w:ascii="Arial" w:hAnsi="Arial"/>
          <w:b/>
        </w:rPr>
        <w:t>LEITURA, DISCUSSÃO E VOTAÇÃO DOS REQUERIMENTOS, RELATÓRIOS E PARECERES:</w:t>
      </w:r>
      <w:bookmarkStart w:id="0" w:name="_Hlk95813771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  <w:b/>
          <w:bCs/>
        </w:rPr>
        <w:t>Projetos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  <w:strike w:val="false"/>
          <w:dstrike w:val="false"/>
        </w:rPr>
        <w:t>s</w:t>
      </w:r>
      <w:r>
        <w:rPr>
          <w:rFonts w:cs="Arial" w:ascii="Arial" w:hAnsi="Arial"/>
          <w:b/>
          <w:bCs/>
        </w:rPr>
        <w:t xml:space="preserve"> 72/2022 e 73/2022 – </w:t>
      </w:r>
      <w:r>
        <w:rPr>
          <w:rFonts w:cs="Arial" w:ascii="Arial" w:hAnsi="Arial"/>
        </w:rPr>
        <w:t xml:space="preserve">As proposições permanecerão em análise junto à Comissão, tendo em vista que o Poder Executivo ainda não respondeu aos ofícios encaminhados por esta Casa em 10 de junho de 2022. </w:t>
      </w:r>
      <w:r>
        <w:rPr>
          <w:rFonts w:cs="Arial" w:ascii="Arial" w:hAnsi="Arial"/>
          <w:b/>
          <w:bCs/>
        </w:rPr>
        <w:t>Projeto de lei nº 84/2022</w:t>
      </w:r>
      <w:r>
        <w:rPr>
          <w:rFonts w:cs="Arial" w:ascii="Arial" w:hAnsi="Arial"/>
        </w:rPr>
        <w:t xml:space="preserve"> - </w:t>
      </w:r>
      <w:r>
        <w:rPr>
          <w:rFonts w:cs="Arial" w:ascii="Arial" w:hAnsi="Arial"/>
          <w:sz w:val="22"/>
          <w:szCs w:val="22"/>
          <w:lang w:eastAsia="en-US"/>
        </w:rPr>
        <w:t xml:space="preserve">A orientação técnica concluiu pela necessidade de previsão na LDO e na LOA de autorização de custeio de despesas de competência de outros entes da Federação. Este projeto permanecerá em análise na Comissão, sendo que serão solicitadas ao Executivo tais informações. </w:t>
      </w:r>
      <w:bookmarkStart w:id="1" w:name="_Hlk107220320"/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 – </w:t>
      </w:r>
      <w:r>
        <w:rPr>
          <w:rFonts w:cs="Arial" w:ascii="Arial" w:hAnsi="Arial"/>
          <w:sz w:val="22"/>
          <w:szCs w:val="22"/>
          <w:lang w:eastAsia="en-US"/>
        </w:rPr>
        <w:t>Este projeto permanecerá em análise junto à Comissão, aguardando a realização de</w:t>
      </w:r>
      <w:r>
        <w:rPr>
          <w:rFonts w:cs="Arial" w:ascii="Arial" w:hAnsi="Arial"/>
        </w:rPr>
        <w:t xml:space="preserve"> audiência pública, agendada para o dia 12 de agosto de 2022, às 18h30min, nesta Casa Legislativa. </w:t>
      </w:r>
      <w:r>
        <w:rPr>
          <w:rFonts w:cs="Arial" w:ascii="Arial" w:hAnsi="Arial"/>
          <w:b/>
          <w:bCs/>
          <w:sz w:val="22"/>
          <w:szCs w:val="22"/>
          <w:lang w:eastAsia="en-US"/>
        </w:rPr>
        <w:t>Projetos de Lei n</w:t>
      </w:r>
      <w:r>
        <w:rPr>
          <w:rFonts w:cs="Arial" w:ascii="Arial" w:hAnsi="Arial"/>
          <w:b/>
          <w:bCs/>
          <w:strike/>
          <w:sz w:val="22"/>
          <w:szCs w:val="22"/>
          <w:lang w:eastAsia="en-US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2"/>
          <w:szCs w:val="22"/>
          <w:lang w:eastAsia="en-US"/>
        </w:rPr>
        <w:t>s</w:t>
      </w:r>
      <w:r>
        <w:rPr>
          <w:rFonts w:cs="Arial" w:ascii="Arial" w:hAnsi="Arial"/>
          <w:b/>
          <w:bCs/>
          <w:sz w:val="22"/>
          <w:szCs w:val="22"/>
          <w:lang w:eastAsia="en-US"/>
        </w:rPr>
        <w:t xml:space="preserve"> 89/2022 e 90/2022 -</w:t>
      </w:r>
      <w:r>
        <w:rPr>
          <w:rFonts w:cs="Arial" w:ascii="Arial" w:hAnsi="Arial"/>
          <w:sz w:val="22"/>
          <w:szCs w:val="22"/>
          <w:lang w:eastAsia="en-US"/>
        </w:rPr>
        <w:t xml:space="preserve"> Estes projetos permanecerão em análise junto à Comissão, tendo em vista que foi solicitado ao Executivo Municipal a estimativa de impacto orçamentário e financeiro,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pt-BR" w:eastAsia="en-US" w:bidi="ar-SA"/>
        </w:rPr>
        <w:t>com</w:t>
      </w:r>
      <w:r>
        <w:rPr>
          <w:rFonts w:cs="Arial" w:ascii="Arial" w:hAnsi="Arial"/>
          <w:sz w:val="22"/>
          <w:szCs w:val="22"/>
          <w:lang w:eastAsia="en-US"/>
        </w:rPr>
        <w:t xml:space="preserve"> previsão específica na LDO e na LOA. </w:t>
      </w:r>
      <w:r>
        <w:rPr>
          <w:rFonts w:cs="Arial" w:ascii="Arial" w:hAnsi="Arial"/>
          <w:b/>
          <w:bCs/>
          <w:sz w:val="22"/>
          <w:szCs w:val="22"/>
          <w:lang w:eastAsia="en-US"/>
        </w:rPr>
        <w:t>Projeto de Lei n</w:t>
      </w:r>
      <w:r>
        <w:rPr>
          <w:rFonts w:cs="Arial" w:ascii="Arial" w:hAnsi="Arial"/>
          <w:b/>
          <w:bCs/>
          <w:strike/>
          <w:sz w:val="22"/>
          <w:szCs w:val="22"/>
          <w:lang w:eastAsia="en-US"/>
        </w:rPr>
        <w:t>º</w:t>
      </w:r>
      <w:r>
        <w:rPr>
          <w:rFonts w:cs="Arial" w:ascii="Arial" w:hAnsi="Arial"/>
          <w:b/>
          <w:bCs/>
          <w:sz w:val="22"/>
          <w:szCs w:val="22"/>
          <w:lang w:eastAsia="en-US"/>
        </w:rPr>
        <w:t xml:space="preserve"> 93/2022</w:t>
      </w:r>
      <w:r>
        <w:rPr>
          <w:rFonts w:cs="Arial" w:ascii="Arial" w:hAnsi="Arial"/>
          <w:sz w:val="22"/>
          <w:szCs w:val="22"/>
          <w:lang w:eastAsia="en-US"/>
        </w:rPr>
        <w:t xml:space="preserve"> - A orientação técnica concluiu pela viabilidade parcial da proposição, recomendando a supressão dos Anexos I e II, bem como da criação do Fundo. Este projeto permanecerá em análise junto às Comissão, sendo que será solicitado ao Executivo Municipal o envio de mensagem retificativa.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94/2022 –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 proposição. O relator designado, vereador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  <w:t>Luis,</w:t>
      </w:r>
      <w:r>
        <w:rPr>
          <w:rFonts w:cs="Arial" w:ascii="Arial" w:hAnsi="Arial"/>
          <w:b w:val="false"/>
          <w:bCs w:val="false"/>
        </w:rPr>
        <w:t xml:space="preserve"> emitiu parecer favorável e foi seguido pelos demais membros.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95/2022 – </w:t>
      </w:r>
      <w:r>
        <w:rPr>
          <w:rFonts w:cs="Arial" w:ascii="Arial" w:hAnsi="Arial"/>
          <w:b w:val="false"/>
          <w:bCs w:val="false"/>
        </w:rPr>
        <w:t xml:space="preserve">A orientação técnica concluiu pela viabilidade da proposição. O relator designado, vereador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  <w:t>Luis,</w:t>
      </w:r>
      <w:r>
        <w:rPr>
          <w:rFonts w:cs="Arial" w:ascii="Arial" w:hAnsi="Arial"/>
          <w:b w:val="false"/>
          <w:bCs w:val="false"/>
        </w:rPr>
        <w:t xml:space="preserve"> emitiu parecer favorável e foi seguido pelos demais membros.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96/2022 – </w:t>
      </w:r>
      <w:r>
        <w:rPr>
          <w:rFonts w:cs="Arial" w:ascii="Arial" w:hAnsi="Arial"/>
          <w:b w:val="false"/>
          <w:bCs w:val="false"/>
        </w:rPr>
        <w:t>A orientação técnica concluiu pela viabilidade parcial da proposição, recomendando a correção da ementa do projeto, bem como a inclusão no art. 1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da descrição mais completa do imóvel a ser denominado. O relator designado, vereador </w:t>
      </w:r>
      <w:r>
        <w:rPr>
          <w:rFonts w:eastAsia="Calibri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  <w:t>Luis,</w:t>
      </w:r>
      <w:r>
        <w:rPr>
          <w:rFonts w:cs="Arial" w:ascii="Arial" w:hAnsi="Arial"/>
          <w:b w:val="false"/>
          <w:bCs w:val="false"/>
        </w:rPr>
        <w:t xml:space="preserve"> emitiu parecer favorável, com emenda modificativa, e foi seguido pelos demais membros. </w:t>
      </w:r>
      <w:bookmarkEnd w:id="1"/>
      <w:r>
        <w:rPr>
          <w:rFonts w:eastAsia="Times New Roman" w:cs="Arial" w:ascii="Arial" w:hAnsi="Arial"/>
          <w:b/>
          <w:bCs/>
          <w:color w:val="000000"/>
          <w:lang w:eastAsia="zh-CN"/>
        </w:rPr>
        <w:t>V</w:t>
      </w:r>
      <w:r>
        <w:rPr>
          <w:rFonts w:cs="Arial" w:ascii="Arial" w:hAnsi="Arial"/>
          <w:b/>
          <w:bCs/>
        </w:rPr>
        <w:t>OTAÇÃO DOS PARECERES:</w:t>
      </w:r>
      <w:bookmarkStart w:id="2" w:name="_Hlk58398608"/>
      <w:r>
        <w:rPr>
          <w:rFonts w:cs="Arial" w:ascii="Arial" w:hAnsi="Arial"/>
        </w:rPr>
        <w:t xml:space="preserve"> aprovados por unanimidade os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  <w:strike w:val="false"/>
          <w:dstrike w:val="false"/>
        </w:rPr>
        <w:t xml:space="preserve">s </w:t>
      </w:r>
      <w:r>
        <w:rPr>
          <w:rFonts w:cs="Arial" w:ascii="Arial" w:hAnsi="Arial"/>
        </w:rPr>
        <w:t xml:space="preserve"> </w:t>
      </w:r>
      <w:bookmarkEnd w:id="2"/>
      <w:r>
        <w:rPr>
          <w:rFonts w:cs="Arial" w:ascii="Arial" w:hAnsi="Arial"/>
        </w:rPr>
        <w:t>94/22,  95/22 e  96/22.  Nada</w:t>
      </w:r>
      <w:r>
        <w:rPr>
          <w:rFonts w:cs="Arial" w:ascii="Arial" w:hAnsi="Arial"/>
          <w:lang w:eastAsia="zh-CN"/>
        </w:rPr>
        <w:t xml:space="preserve">  mais  a  ser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lang w:eastAsia="zh-CN"/>
        </w:rPr>
        <w:t xml:space="preserve"> 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lang w:eastAsia="zh-CN"/>
        </w:rPr>
        <w:t>tratado, foi encerrada a presente reunião e lavrada a ata, que vai assinada pelos membros da Comissão Permanente.</w:t>
      </w:r>
      <w:bookmarkStart w:id="3" w:name="_Hlk51589399"/>
      <w:bookmarkEnd w:id="3"/>
      <w:r>
        <w:rPr>
          <w:rFonts w:cs="Arial" w:ascii="Arial" w:hAnsi="Arial"/>
          <w:lang w:eastAsia="zh-CN"/>
        </w:rPr>
        <w:t xml:space="preserve"> </w:t>
      </w:r>
    </w:p>
    <w:p>
      <w:pPr>
        <w:pStyle w:val="Normal"/>
        <w:spacing w:lineRule="auto" w:line="276" w:before="240" w:after="240"/>
        <w:jc w:val="both"/>
        <w:rPr>
          <w:rFonts w:ascii="Arial" w:hAnsi="Arial" w:cs="Arial"/>
          <w:lang w:eastAsia="zh-CN"/>
        </w:rPr>
      </w:pPr>
      <w:r>
        <w:rPr>
          <w:rFonts w:cs="Arial" w:ascii="Arial" w:hAnsi="Arial"/>
          <w:lang w:eastAsia="zh-CN"/>
        </w:rPr>
        <w:t>Presidente: Diego Hider Maciel ___________________________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eastAsia="Calibri" w:cs="Arial" w:ascii="Arial" w:hAnsi="Arial"/>
          <w:color w:val="auto"/>
          <w:kern w:val="0"/>
          <w:sz w:val="22"/>
          <w:szCs w:val="22"/>
          <w:lang w:val="en-US" w:eastAsia="zh-CN" w:bidi="ar-SA"/>
        </w:rPr>
        <w:t>Membro Suplente</w:t>
      </w:r>
      <w:r>
        <w:rPr>
          <w:rFonts w:cs="Arial" w:ascii="Arial" w:hAnsi="Arial"/>
          <w:lang w:val="en-US" w:eastAsia="zh-CN"/>
        </w:rPr>
        <w:t xml:space="preserve">: </w:t>
      </w:r>
      <w:r>
        <w:rPr>
          <w:rFonts w:eastAsia="Calibri" w:cs="Arial" w:ascii="Arial" w:hAnsi="Arial"/>
          <w:color w:val="auto"/>
          <w:kern w:val="0"/>
          <w:sz w:val="22"/>
          <w:szCs w:val="22"/>
          <w:lang w:val="en-US" w:eastAsia="zh-CN" w:bidi="ar-SA"/>
        </w:rPr>
        <w:t>Luis da Silva</w:t>
      </w:r>
      <w:r>
        <w:rPr>
          <w:rFonts w:cs="Arial" w:ascii="Arial" w:hAnsi="Arial"/>
          <w:lang w:val="en-US" w:eastAsia="zh-CN"/>
        </w:rPr>
        <w:t xml:space="preserve"> ___________________________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 xml:space="preserve">Membro Suplente: </w:t>
      </w:r>
      <w:r>
        <w:rPr>
          <w:rFonts w:eastAsia="Calibri" w:cs="Arial" w:ascii="Arial" w:hAnsi="Arial"/>
          <w:bCs/>
          <w:color w:val="auto"/>
          <w:kern w:val="0"/>
          <w:sz w:val="22"/>
          <w:szCs w:val="22"/>
          <w:lang w:val="pt-BR" w:eastAsia="en-US" w:bidi="ar-SA"/>
        </w:rPr>
        <w:t>Ingomar Sandtner</w:t>
      </w:r>
      <w:r>
        <w:rPr>
          <w:rFonts w:cs="Arial" w:ascii="Arial" w:hAnsi="Arial"/>
          <w:lang w:val="en-US" w:eastAsia="zh-CN"/>
        </w:rPr>
        <w:t xml:space="preserve">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lang w:val="en-US" w:eastAsia="zh-CN"/>
        </w:rPr>
      </w:pPr>
      <w:r>
        <w:rPr/>
      </w:r>
    </w:p>
    <w:sectPr>
      <w:headerReference w:type="default" r:id="rId2"/>
      <w:type w:val="nextPage"/>
      <w:pgSz w:w="11906" w:h="16838"/>
      <w:pgMar w:left="1705" w:right="1133" w:header="0" w:top="1705" w:footer="0" w:bottom="130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4D1221EE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6770" cy="661670"/>
              <wp:effectExtent l="0" t="0" r="0" b="0"/>
              <wp:wrapNone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6080" cy="6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fillcolor="white" stroked="f" style="position:absolute;margin-left:68.25pt;margin-top:23.25pt;width:365pt;height:52pt;v-text-anchor:top;mso-position-horizontal-relative:margin" wp14:anchorId="4D1221E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f1c00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LibreOffice/7.0.1.2$Windows_X86_64 LibreOffice_project/7cbcfc562f6eb6708b5ff7d7397325de9e764452</Application>
  <Pages>2</Pages>
  <Words>709</Words>
  <Characters>3784</Characters>
  <CharactersWithSpaces>4504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2022-06-27T12:55:00Z</dcterms:created>
  <dc:creator>Usuário</dc:creator>
  <dc:description/>
  <dc:language>pt-BR</dc:language>
  <cp:lastModifiedBy/>
  <cp:lastPrinted>2022-07-15T15:07:00Z</cp:lastPrinted>
  <dcterms:modified xsi:type="dcterms:W3CDTF">2022-07-15T15:50:16Z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