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17/2023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Aos sete dias do do mês de junho do ano de dois mil e vinte e três, reuniram-se no Plenário da Câmara Municipal de Três Passos, às 8h, os vereadores Flávio Habitzreiter, Gilmar Maier e Ingomar Sandtner.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62, de 21 de dezembro de 2020, que instituiu o novo Código de Meio Ambiente e de Posturas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62/23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5.846, de 24 de janeiro de 2023  que  dispõe sobre o Plano de Financiamento do Regime Próprio de Previdência Social dos Servidores Públicos Efetivos do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64/23 – </w:t>
      </w:r>
      <w:r>
        <w:rPr>
          <w:rFonts w:ascii="Arial" w:hAnsi="Arial"/>
          <w:sz w:val="24"/>
          <w:szCs w:val="24"/>
        </w:rPr>
        <w:t>Altera o Termo de Convênio que faz parte integrante da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5.768, de 05 de julho de 2022, que autoriza o Poder Executivo a ﬁrmar convênio com a Associação Hospital de Caridade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65/23 – </w:t>
      </w:r>
      <w:r>
        <w:rPr>
          <w:rFonts w:ascii="Arial" w:hAnsi="Arial"/>
          <w:sz w:val="24"/>
          <w:szCs w:val="24"/>
        </w:rPr>
        <w:t>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9000583-77.2016.8.21.0075.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66/23 – </w:t>
      </w:r>
      <w:r>
        <w:rPr>
          <w:rFonts w:ascii="Arial" w:hAnsi="Arial"/>
          <w:sz w:val="24"/>
          <w:szCs w:val="24"/>
        </w:rPr>
        <w:t xml:space="preserve">Autoriza a contratação emergencial de 01 (um) Fiscal Tributário.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67/23 – </w:t>
      </w:r>
      <w:r>
        <w:rPr>
          <w:rFonts w:ascii="Arial" w:hAnsi="Arial"/>
          <w:sz w:val="24"/>
          <w:szCs w:val="24"/>
        </w:rPr>
        <w:t xml:space="preserve">Concede reajuste salarial, aos servidores públicos municipais ativos: estatutários, celetistas, contratados emergencialmente, cargos em comissão; servidores municipais inativos: aposentados e pensionistas com direito a paridade; conselheiros tutelares; estagiários; e servidores do IPSTP, exceto aos servidores da Câmara Municipal de Vereadores.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Concede reajuste salarial aos servidores efetivos: contador e procurador jurídico da Câmara Municipal de Três Passos.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da matéria, vereador Flavio Habitzreiter,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da matéria.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62/23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Gilmar Maier,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orientação técnica concluiu pela viabilidade da proposição. O relator da matéria, vereador Flavio Habitzreiter, emitiu parecer favorável e foi seguido pelos demais membros.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65/23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Ingomar Sandtner,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66/23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Ingomar Sandtner,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foi no sentido de que é necessário o cálculo atuarial, documento já solicitado ao Instituto de Previdência.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 relator da matéria, vereador Gilmar Maier,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foi no sentido de que é necessário ajustar o projeto de lei, a fim de que o aumento real seja sobre o vencimento básico dos servidores, o que pode ser via emenda da Comissão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O relator da matéria, vereador Gilmar Maier, emitiu parecer favorável e foi seguido pelos demais membros,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com emenda modificativa.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aprovados por unanimidade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os Projetos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62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/23, 64/23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67/23, e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9/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Presidente: Flavio Habitzreiter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 Suplente: Ingomar Sandtner 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Application>LibreOffice/7.4.2.3$Windows_X86_64 LibreOffice_project/382eef1f22670f7f4118c8c2dd222ec7ad009daf</Application>
  <AppVersion>15.0000</AppVersion>
  <Pages>2</Pages>
  <Words>622</Words>
  <Characters>3464</Characters>
  <CharactersWithSpaces>4097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2023-06-06T15:25:24Z</cp:lastPrinted>
  <dcterms:modified xsi:type="dcterms:W3CDTF">2023-06-15T09:19:42Z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