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32/2023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 primeiro dia do mês de novembro do ano de dois mil e vinte e três, reuniram-se no Plenário da Câmara Municipal de Três Passos, às 18h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>, os vereadores João Roque Boll e Paulo Gilceu Sattler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132/23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Autoriza a abertura de crédito especial na Lei n</w:t>
      </w:r>
      <w:r>
        <w:rPr>
          <w:rFonts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136/23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Autoriza o Poder Executivo a criar o Programa de Manutenção na Agropecuária de Três Passos – PROMAT e indica recursos.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137/23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Autoriza abertura de crédito suplementar na Lei n</w:t>
      </w:r>
      <w:r>
        <w:rPr>
          <w:rFonts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138/23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Autoriza o Poder Executivo Municipal a proceder na Contratação Temporária de um contador.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139 de 2023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140/23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5.742 de 2022 que autoriza o Poder Executivo Municipal a contratar temporariamente e sob regime emergencial e de excepcional interesse público dois topógrafos.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141/23 –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5.739 de 2022 que autoriza o Poder Executivo Municipal a contratar temporariamente e sob regime emergencial e de excepcional interesse público dois arquitetos.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132/23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O projeto de Lei foi retirado pelo Prefeito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Municipal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orientação técnica concluiu pela viabilidade da proposição.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O vereador Paulo Sattler pediu vistas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da matéria e solicitou o envio de ofício ao Executivo Municipal, solicitando maiores informações quanto ao percentual do incentivo a ser fornecido neste ano de 2023.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137/23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138/23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139/23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O relator da matéria, vereador João Boll, não emitiu o relatório e voto, em função de que o PL ficou em análise na CCR.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140/23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 relator da matéria, vereador João Boll, não emitiu o relatório e voto, em função de que o PL ficou em análise na CCR.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141/23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contas, está sendo analisado pela Procuradora Jurídica e por esta Comissão, conforme prazo regimental.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137/23, 138/23 e 141/23.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LibreOffice/7.4.2.3$Windows_X86_64 LibreOffice_project/382eef1f22670f7f4118c8c2dd222ec7ad009daf</Application>
  <AppVersion>15.0000</AppVersion>
  <Pages>2</Pages>
  <Words>746</Words>
  <Characters>3952</Characters>
  <CharactersWithSpaces>4715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2023-11-01T08:04:46Z</cp:lastPrinted>
  <dcterms:modified xsi:type="dcterms:W3CDTF">2023-11-08T17:08:12Z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