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0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>23</w:t>
      </w:r>
      <w:r>
        <w:rPr>
          <w:color w:val="0000FF"/>
          <w:sz w:val="28"/>
          <w:szCs w:val="28"/>
          <w:lang w:val="pt-BR"/>
        </w:rPr>
        <w:t xml:space="preserve"> DE NOVEMBRO DE 2023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125 de 2023, Dispõe sobre a Política Municipal dos Direitos da Pessoa Idosa, reestrutura o Conselho Municipal dos Direitos da Pessoa Idosa e o Fundo Municipal dos Direitos da Pessoa Idosa, revoga as Leis 3873/2004, 4830/2013 e 4990/2014.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126 de 2023, Dispõe acerca do Sistema de Garantia de Direitos da Criança e do Adolescente Vítima ou Testemunha de Violência no Âmbito Municipal.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151 de 2023, Estima a Receita e Fixa a Despesa do Município de Três Passos/RS para o exercício financeiro de 2024. 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152 de 2023, Autoriza a abertura de crédito especial na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5.836, de 14 de dezembro de 2022, que estima a receita e fixa a despesa do Município de Três Passos para o exercício de 2023.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153 de 2023, Institui contribuição de melhoria para as obras de asfaltamento em CBUQ das Ruas Bento Gonçalves e Getúlio Vargas.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154 de 2023, Altera a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5.986, de 2023, que autoriza a abertura de crédito suplementar na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5.836, de 2022.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155, </w:t>
      </w:r>
      <w:r>
        <w:rPr>
          <w:sz w:val="28"/>
          <w:szCs w:val="28"/>
        </w:rPr>
        <w:t>156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 158 </w:t>
      </w:r>
      <w:r>
        <w:rPr>
          <w:sz w:val="28"/>
          <w:szCs w:val="28"/>
        </w:rPr>
        <w:t xml:space="preserve">de 2023, </w:t>
      </w:r>
      <w:r>
        <w:rPr>
          <w:sz w:val="28"/>
          <w:szCs w:val="28"/>
        </w:rPr>
        <w:t xml:space="preserve">Abrem </w:t>
      </w:r>
      <w:r>
        <w:rPr>
          <w:sz w:val="28"/>
          <w:szCs w:val="28"/>
        </w:rPr>
        <w:t>crédito suplementar no orçamento vigente.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157 de 2023, Autoriza a abertura de crédito especial na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5.836, de 14 de dezembro de 2022, que estima a receita e fixa a despesa do Município de Três Passos para o exercício de 2023.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159 de 2023, Autoriza o Poder Executivo a adquirir imóveis de propriedade de Bom Plano Imóveis Ltda-ME.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125/23 – </w:t>
      </w:r>
      <w:r>
        <w:rPr>
          <w:b w:val="false"/>
          <w:bCs w:val="false"/>
          <w:color w:val="auto"/>
          <w:sz w:val="28"/>
          <w:szCs w:val="28"/>
        </w:rPr>
        <w:t>Dispõe sobre a Política Municipal dos Direitos da Pessoa Idosa, reestrutura o Conselho Municipal dos Direitos da Pessoa Idosa e o Fundo Municipal dos Direitos da Pessoa Idosa, revoga as Leis 3873/2004, 4830/2013 e 4990/2014, com base no Pacto Nacional de Implementação dos Direitos da Pessoa Idosa – PNDPI – 2020/2030.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A orientação técnica já foi fornecida em reunião anterior, sendo que estamos aguardando retorno do Executivo Municipal, quanto ao envio de mensagem retificativa (4/10/2023).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</w:rPr>
        <w:t>_________________________________________________________________________________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126/23 – </w:t>
      </w:r>
      <w:r>
        <w:rPr>
          <w:b w:val="false"/>
          <w:bCs w:val="false"/>
          <w:color w:val="auto"/>
          <w:sz w:val="28"/>
          <w:szCs w:val="28"/>
        </w:rPr>
        <w:t>Dispõe acerca do Sistema de Garantia de Direitos da Criança e do Adolescente Vítima ou Testemunha de Violência no Âmbito Municipal, com base na Lei Federal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13.431, de 2017, e no Decreto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60, de 2019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A orientação técnica já foi fornecida em reunião anterior, sendo que estamos aguardando retorno do Executivo Municipal, quanto ao envio de mensagem retificativa (4/10/2023).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151/23 – </w:t>
      </w:r>
      <w:r>
        <w:rPr>
          <w:b w:val="false"/>
          <w:bCs w:val="false"/>
          <w:color w:val="auto"/>
          <w:sz w:val="28"/>
          <w:szCs w:val="28"/>
        </w:rPr>
        <w:t xml:space="preserve">Estima a Receita e Fixa a Despesa do Município de Três Passos/RS para o exercício financeiro de 2024.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Este projeto é a Lei Orçamentária Anual – LOA, contendo o orçamento para o ano de 2024, sendo o seu principal Anexo o Planejamento das Despesas, em que há o detalhamento dos Programas, Ações, Funções e Subfunções, dotações e créditos orçamentários, por Secretaria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previsão de gastos para 2024 é de R$ 127.239.000,00 para a administração direta (Prefeitura Municipal), R$ 4.291.000,00 para o Poder Legislativo (Câmara Municipal de Vereadores) e R$ 18.470.000,00 para a administração indireta (Instituto de Previdência), totalizando R$ 150.000.000,00.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Este projeto estamos aguardando a realização de audiência pública, que será na próxima segunda-feira, 27 de novembro, às 18h, antes da sessão ordinária, com a presença do Secretário Municipal de Planejamento.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15</w:t>
      </w:r>
      <w:r>
        <w:rPr>
          <w:b/>
          <w:color w:val="4472C4"/>
          <w:sz w:val="28"/>
          <w:szCs w:val="28"/>
        </w:rPr>
        <w:t>2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a abertura de crédito especial na Lei nº 5.836, de 14 de dezembro de 2022, que estima a receita e fixa a despesa do Município de Três Passos para o exercício de 2023, no valor de R$ 12.710,39, para aquisição de dois computadores para as atividades dos trabalhadores do cadastro único, através do Recurso PROCAD.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15</w:t>
      </w:r>
      <w:r>
        <w:rPr>
          <w:b/>
          <w:color w:val="4472C4"/>
          <w:sz w:val="28"/>
          <w:szCs w:val="28"/>
        </w:rPr>
        <w:t>3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Institui contribuição de melhoria para as obras de asfaltamento em CBUQ das Ruas Bento Gonçalves e Getúlio Vargas.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15</w:t>
      </w:r>
      <w:r>
        <w:rPr>
          <w:b/>
          <w:color w:val="4472C4"/>
          <w:sz w:val="28"/>
          <w:szCs w:val="28"/>
        </w:rPr>
        <w:t>4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Altera a Lei nº 5.986, de 2023, que autoriza a abertura de crédito suplementar na Lei nº 5.836, de 2022, no valor de R$ 652.000,00, para pavimentação de ruas do Município, uma vez que houve um equívoco na informação da fonte de recurso, sendo que a cobertura da despesa não será por excesso de arrecadação, mas por superávit financeiro.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15</w:t>
      </w:r>
      <w:r>
        <w:rPr>
          <w:b/>
          <w:color w:val="4472C4"/>
          <w:sz w:val="28"/>
          <w:szCs w:val="28"/>
        </w:rPr>
        <w:t>5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Dispõe sobre a</w:t>
      </w:r>
      <w:r>
        <w:rPr>
          <w:b w:val="false"/>
          <w:bCs w:val="false"/>
          <w:color w:val="auto"/>
          <w:sz w:val="28"/>
          <w:szCs w:val="28"/>
        </w:rPr>
        <w:t xml:space="preserve"> abertura de crédito suplementar no orçamento vigente, no valor de R$ 37.997,30, para pagamento de acolhimento institucional de idosos, conforme prevê plano de aplicação.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15</w:t>
      </w:r>
      <w:r>
        <w:rPr>
          <w:b/>
          <w:color w:val="4472C4"/>
          <w:sz w:val="28"/>
          <w:szCs w:val="28"/>
        </w:rPr>
        <w:t>6</w:t>
      </w:r>
      <w:r>
        <w:rPr>
          <w:b/>
          <w:color w:val="4472C4"/>
          <w:sz w:val="28"/>
          <w:szCs w:val="28"/>
        </w:rPr>
        <w:t xml:space="preserve">/23 –  </w:t>
      </w:r>
      <w:r>
        <w:rPr>
          <w:b w:val="false"/>
          <w:bCs w:val="false"/>
          <w:color w:val="auto"/>
          <w:sz w:val="28"/>
          <w:szCs w:val="28"/>
        </w:rPr>
        <w:t xml:space="preserve">Dispõe sobre a </w:t>
      </w:r>
      <w:r>
        <w:rPr>
          <w:b w:val="false"/>
          <w:bCs w:val="false"/>
          <w:color w:val="auto"/>
          <w:sz w:val="28"/>
          <w:szCs w:val="28"/>
        </w:rPr>
        <w:t>abertura de crédito suplementar no orçamento vigente, no valor de R$ 581.928,30, para pagamento de obras de pavimentação asfáltica em estrada no interior do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15</w:t>
      </w:r>
      <w:r>
        <w:rPr>
          <w:b/>
          <w:color w:val="4472C4"/>
          <w:sz w:val="28"/>
          <w:szCs w:val="28"/>
        </w:rPr>
        <w:t>7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a abertura de crédito especial na Lei nº 5.836, de 14 de dezembro de 2022, que estima a receita e fixa a despesa do Município de Três Passos para o exercício de 2023, no valor de R$ 16.285,00, para aquisição de mobiliário para o CREAS, objetivando a execução dos Plano de Trabalho dos recursos recebidos do Governo do Estado em dezembro de 2022, que contemplará o atendimento de famílias e indivíduos que se encontram em situação de risco pessoal e social.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15</w:t>
      </w:r>
      <w:r>
        <w:rPr>
          <w:b/>
          <w:color w:val="4472C4"/>
          <w:sz w:val="28"/>
          <w:szCs w:val="28"/>
        </w:rPr>
        <w:t>8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Dispõe sobre a</w:t>
      </w:r>
      <w:r>
        <w:rPr>
          <w:b w:val="false"/>
          <w:bCs w:val="false"/>
          <w:color w:val="auto"/>
          <w:sz w:val="28"/>
          <w:szCs w:val="28"/>
        </w:rPr>
        <w:t xml:space="preserve"> abertura de crédito suplementar no orçamento vigente, no valor de R$ 1.570.040,00, para pagamento de despesas com obras de pavimentação de reperfilamento e obras de pavimentação a quente, as quais terão cobrança de contribuição de melhoria, bem como serviços iniciais, mobilização e controle tecnológico para execução das Ruas Almirante Tamandaré, Pedro de Alcântara, Carlos Gomes, Tiradentes, Bento Gonçalves, José Coutinho e Getúlio Vargas.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15</w:t>
      </w:r>
      <w:r>
        <w:rPr>
          <w:b/>
          <w:color w:val="4472C4"/>
          <w:sz w:val="28"/>
          <w:szCs w:val="28"/>
        </w:rPr>
        <w:t>9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 xml:space="preserve">Autoriza o Poder Executivo a adquirir imóveis de propriedade de Bom Plano Imóveis Ltda-ME.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Os imóveis compreendem 17 lotes urbanos, com a área total de 32,31 hectares, localizados ao lado da empresa JBS, e foram avaliados no montante de R$ 11.794.000,00, a ser pago da seguinte forma: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- Entrada de R$ 2.794.000,00 em 19/1/2024.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- O valor de R$ 9.000.000,00 em 60 parcelas de R$ 150.000,00 cada uma, com incidência da taxa de juros do INPC + 0,5% a.m., a serem pagas no dia 19 de cada mês.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Os imóveis a serem adquiridos destinam-se à atividade industrial, habitacional e área verde.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6A41-2E6D-408E-B3CA-929768E6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Application>LibreOffice/7.4.2.3$Windows_X86_64 LibreOffice_project/382eef1f22670f7f4118c8c2dd222ec7ad009daf</Application>
  <AppVersion>15.0000</AppVersion>
  <Pages>9</Pages>
  <Words>2399</Words>
  <Characters>14903</Characters>
  <CharactersWithSpaces>17080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2023-06-28T20:56:00Z</dcterms:created>
  <dc:creator>Cristina</dc:creator>
  <dc:description/>
  <dc:language>pt-BR</dc:language>
  <cp:lastModifiedBy/>
  <dcterms:modified xsi:type="dcterms:W3CDTF">2023-11-23T09:17:47Z</dcterms:modified>
  <cp:revision>270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