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36/2023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sete dias do mês de dezembro do ano de dois mil e vinte e três, reuniram-se no Plenário da Câmara Municipal de Três Passos, às 18h, os vereadores Flavio Habitzreiter, Gilmar Maier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8/23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Dispõe sobre a alteração da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61, de 2020 – Plano de uso e ocupação do solo urbano.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P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18, de 16 de agosto de 2011, que dispõe sobre o regime jurídico dos servidores municipais de Três Passos.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Dispõe sobre a Política Municipal dos Direitos da Pessoa Idosa, reestrutura o Conselho Municipal dos Direitos da Pessoa Idosa e o Fundo Municipal dos Direitos da Pessoa Idosa, revoga as Leis 3873/2004, 4830/2013 e 4990/2014.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Dispõe acerca do Sistema de Garantia de Direitos da Criança e do Adolescente Vítima ou Testemunha de Violência no Âmbito Municipal. Projeto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151 de 2023 – Estima a Receita e Fixa a Despesa do Município de Três Passos/RS para o exercício financeiro de 2024.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162 de 2023 – 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a criar o Fundo Municipal de Proteção e Defesa Civil – FUMPDEC.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5.740 de 2022 que autoriza o Poder Executivo Municipal a contratar temporariamente e sob regime emergencial e de excepcional interesse público dois fiscais de obras.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5.741 de 2022 que autoriza o Poder Executivo Municipal a contratar temporariamente e sob regime emergencial e de excepcional interesse público um pedreiro.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Autoriza o Município de Três Passos, por intermédio do Poder Executivo, a firmar convênio, acordo, ajuste e/ou instrumento congênere, em regime de mutua colaboração, com o Estado do Rio Grande do Sul por intermédio da Corpo de Bombeiros Militar/3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Pel/1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CiaBM/12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BBM.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Dispõe sobre as infrações e sanções administrativas ao meio ambiente, estabelece o processo administrativo municipal para apuração destas infrações.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Dispõe sobre o serviço remunerado de transporte individual de passageiros em motocicletas – mototáxi, no Município de Três Passos. 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170/23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5.815, de 2022 que autoriza o Poder Executivo a firmar convênio com a Associação Hospital de Caridade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171/23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Institui o Programa de Incentivo ao Desenvolvimento Econômico De Três Passos – PROSPERAR.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Autoriza o Poder Executivo a realizar premiações em pecúnia aos campeonatos desportivos nos bairros de Três Passos.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174/23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proceder na contratação emergencial de até quarenta serventes.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175/23 -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Dispõe sobre as Gratificações Mensais no âmbito do Instituto de Previdência dos Servidores Públicos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5.490, de 27 de agosto de 2019, que dispõe sobre Cria o Plano de Classificação de Cargos do Instituto de Previdência do Servidor Público do Município de Três Passos - RS.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178/23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5.496, de 17 de setembro de 2019, que dispõe sobre a reestruturação do plano e classificação de cargos e funções, criação e extinção de cargos, estabelece o plano de pagamento.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179/23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4.475, de 05 de janeiro de 2011, que dispõe sobre a criação de empregos públicos para provimento das vagas de agentes comunitários de saúde.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LEITURA, DISCUSSÃO E VOTAÇÃO DOS REQUERIMENTOS, RELATÓRIOS E PARECERES: 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8/23 -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Nader Umar,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8/23 -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Gilmar Maier,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162/23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Gilmar Maier,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163/23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Gilmar Maier,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164/23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Gilmar Maier,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165/23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Nader Umar,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166/23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Nader Umar,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167/23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Nader Umar,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foi no sentido de que o PL necessita de ajustes, especialmente em relação à diferenciação entre interesse público e utilizada pública.  O relator da matéria, vereador Gilmar Maier, pediu vistas da matéria.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170/23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Nader Umar,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171/23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Flavio Habitzreiter,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173/23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Flavio Habitzreiter,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174/23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Gilmar Maier,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175/23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Nader Umar,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176/23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Flavio Habitzreiter,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177/23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Nader Umar,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178/23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proposição,  O relator da matéria, vereador Nader Umar, pediu vistas da matéria, tendo em vista a exigência da nova escolaridade para as profissionais que já estão atuando.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179/23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proposição, O relator da matéria, vereador Flavio Habitzreiter, pediu vistas da matéria, tendo em vista a exigência da nova escolaridade para as profissionais que já estão atuando.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 xml:space="preserve">aprovados por unanimidade os Projetos de Lei Complementar nºs 8/23 e 9/23, e os Projetos de Lei Ordinária nºs 162/23, 163/23, </w:t>
      </w:r>
      <w:r>
        <w:rPr>
          <w:rFonts w:cs="Arial" w:ascii="Arial" w:hAnsi="Arial"/>
          <w:color w:val="000000"/>
          <w:sz w:val="24"/>
          <w:szCs w:val="24"/>
        </w:rPr>
        <w:t>164/23,</w:t>
      </w:r>
      <w:r>
        <w:rPr>
          <w:rFonts w:cs="Arial" w:ascii="Arial" w:hAnsi="Arial"/>
          <w:color w:val="000000"/>
          <w:sz w:val="24"/>
          <w:szCs w:val="24"/>
        </w:rPr>
        <w:t xml:space="preserve"> 165/23, 166/23, 167/23, 170/23, 171/23, 173/23, 174/23, 175/23, 176/23 e 177/23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. </w:t>
      </w:r>
      <w:r>
        <w:rPr>
          <w:rFonts w:cs="Arial" w:ascii="Arial" w:hAnsi="Arial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Presidente: Flavio Habitzreiter 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Membro: Nader Umar 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6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LibreOffice/7.4.2.3$Windows_X86_64 LibreOffice_project/382eef1f22670f7f4118c8c2dd222ec7ad009daf</Application>
  <AppVersion>15.0000</AppVersion>
  <Pages>3</Pages>
  <Words>1401</Words>
  <Characters>7727</Characters>
  <CharactersWithSpaces>9167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2023-11-15T13:25:00Z</dcterms:created>
  <dc:creator>Usuário</dc:creator>
  <dc:description/>
  <dc:language>pt-BR</dc:language>
  <cp:lastModifiedBy/>
  <cp:lastPrinted>2023-11-29T16:18:38Z</cp:lastPrinted>
  <dcterms:modified xsi:type="dcterms:W3CDTF">2023-12-13T16:23:56Z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