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3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DEZEMBRO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>Projeto</w:t>
      </w:r>
      <w:r>
        <w:rPr>
          <w:sz w:val="28"/>
          <w:szCs w:val="28"/>
          <w:u w:val="single"/>
        </w:rPr>
        <w:t>s</w:t>
      </w:r>
      <w:r>
        <w:rPr>
          <w:sz w:val="28"/>
          <w:szCs w:val="28"/>
          <w:u w:val="single"/>
        </w:rPr>
        <w:t xml:space="preserve"> de Lei Complementar n</w:t>
      </w:r>
      <w:r>
        <w:rPr>
          <w:strike/>
          <w:sz w:val="28"/>
          <w:szCs w:val="28"/>
          <w:u w:val="single"/>
        </w:rPr>
        <w:t>º</w:t>
      </w:r>
      <w:r>
        <w:rPr>
          <w:sz w:val="28"/>
          <w:szCs w:val="28"/>
          <w:u w:val="single"/>
        </w:rPr>
        <w:t xml:space="preserve">s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e 9 </w:t>
      </w:r>
      <w:r>
        <w:rPr>
          <w:sz w:val="28"/>
          <w:szCs w:val="28"/>
        </w:rPr>
        <w:t xml:space="preserve">de 2023, </w:t>
      </w:r>
      <w:r>
        <w:rPr>
          <w:sz w:val="28"/>
          <w:szCs w:val="28"/>
          <w:lang w:eastAsia="x-none"/>
        </w:rPr>
        <w:t>cujas ementas já foram lidas na reunião anterior.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>Projeto</w:t>
      </w:r>
      <w:r>
        <w:rPr>
          <w:sz w:val="28"/>
          <w:szCs w:val="28"/>
          <w:u w:val="single"/>
        </w:rPr>
        <w:t>s</w:t>
      </w:r>
      <w:r>
        <w:rPr>
          <w:sz w:val="28"/>
          <w:szCs w:val="28"/>
          <w:u w:val="single"/>
        </w:rPr>
        <w:t xml:space="preserve"> de Lei Ordinária n</w:t>
      </w:r>
      <w:r>
        <w:rPr>
          <w:strike/>
          <w:sz w:val="28"/>
          <w:szCs w:val="28"/>
          <w:u w:val="single"/>
        </w:rPr>
        <w:t>º</w:t>
      </w:r>
      <w:r>
        <w:rPr>
          <w:sz w:val="28"/>
          <w:szCs w:val="28"/>
          <w:u w:val="single"/>
        </w:rPr>
        <w:t xml:space="preserve">s </w:t>
      </w:r>
      <w:r>
        <w:rPr>
          <w:sz w:val="28"/>
          <w:szCs w:val="28"/>
        </w:rPr>
        <w:t xml:space="preserve">125, </w:t>
      </w:r>
      <w:r>
        <w:rPr>
          <w:sz w:val="28"/>
          <w:szCs w:val="28"/>
        </w:rPr>
        <w:t>126, 156, 162 a 179/23, cujas ementas já foram lidas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COMPLEMENTAR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 xml:space="preserve">Dispõe sobre a alteração da Lei Complementar nº 61, de 2020 – Plano de uso e ocupação do solo urbano.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refere-se ao art. 97, estabelecendo que as edificações com mais de 4 (quatro) pavimentos devem manter afastamentos laterais e de fundo em medida não inferior a 1/6 (um sexto) da altura máxima da edificação, respeitando sempre o afastamento mínimo de 2 (dois) metros.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COMPLEMENTAR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9/</w:t>
      </w:r>
      <w:r>
        <w:rPr>
          <w:b/>
          <w:color w:val="4472C4"/>
          <w:sz w:val="28"/>
          <w:szCs w:val="28"/>
        </w:rPr>
        <w:t xml:space="preserve">23 –  </w:t>
      </w:r>
      <w:r>
        <w:rPr>
          <w:b w:val="false"/>
          <w:bCs w:val="false"/>
          <w:color w:val="auto"/>
          <w:sz w:val="28"/>
          <w:szCs w:val="28"/>
        </w:rPr>
        <w:t xml:space="preserve">Altera a Lei complementar nº 18, de 16 de agosto de 2011, que dispõe sobre o regime jurídico dos servidores municipais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146-A, estabelecendo que ao servidor municipal estável, que estiver cursando pós-graduação em nível de Mestrado ou Doutorado, em curso reconhecido pelo MEC ou CAPES, poderá ser concedida licença parcial, sem a necessidade de desconto ou compensação de horários.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125/23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dos Direitos da Pessoa Idosa, reestrutura o Conselho Municipal dos Direitos da Pessoa Idosa e o Fundo Municipal dos Direitos da Pessoa Idosa, revoga as Leis 3873/2004, 4830/2013 e 4990/2014, com base no Pacto Nacional de Implementação dos Direitos da Pessoa Idosa – PNDPI – 2020/2030.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126/23 – </w:t>
      </w:r>
      <w:r>
        <w:rPr>
          <w:b w:val="false"/>
          <w:bCs w:val="false"/>
          <w:color w:val="auto"/>
          <w:sz w:val="28"/>
          <w:szCs w:val="28"/>
        </w:rPr>
        <w:t>Dispõe acerca do Sistema de Garantia de Direitos da Criança e do Adolescente Vítima ou Testemunha de Violência no Âmbito Municipal,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13.431, de 2017, e no Decreto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60, de 2019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156/23 –  </w:t>
      </w:r>
      <w:r>
        <w:rPr>
          <w:b w:val="false"/>
          <w:bCs w:val="false"/>
          <w:color w:val="auto"/>
          <w:sz w:val="28"/>
          <w:szCs w:val="28"/>
        </w:rPr>
        <w:t>Dispõe sobre a abertura de crédito suplementar no orçamento vigente, no valor de R$ 581.928,30, para pagamento de obras de pavimentação asfáltica em estrada no interior do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já foi fornecida orientação técnica em reunião anterior.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Foi enviado ofício ao Executivo Municipal, na data de 24/11/23, solicitando maiores informações, especialmente em relação à origem dos recursos, se de emenda parlamentar, e o destino, ou seja, em qual estrada do interior do Município será investido o valor.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62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Autoriza o Poder Executivo a criar o Fundo Municipal de Proteção e Defesa Civil – FUMPDEC, a fim de que o Município de Três Passos possa receber recursos do Estado do RS, por ter decretado estado de emergência.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63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Altera a Lei Municipal nº 5.740 de 2022 que autoriza o Poder Executivo Municipal a contratar temporariamente e sob regime emergencial e de excepcional interesse público dois fiscais de obras, prorrogando o prazo da contratação para até 19 de junho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 Altera a Lei Municipal nº 5.741 de 2022 que autoriza o Poder Executivo Municipal a contratar temporariamente e sob regime emergencial e de excepcional interesse público um pedreiro, prorrogando o prazo da contratação para até 31 de junho de 2024.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65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Autoriza a contratação emergencial de um Visitador, com carga horária semanal de 40 horas e vencimento mensal de R$ 1.500,00, para atuar junto ao programa Primeira Infância Melhor – PIM.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66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Autoriza o Município de Três Passos, por intermédio do Poder Executivo, a firmar convênio, acordo, ajuste e/ou instrumento congênere, em regime de mutua colaboração, com o Estado do Rio Grande do Sul por intermédio da Corpo de Bombeiros Militar/3ºPel/1ºCiaBM/12º BBM, para repasse do montante de R$ 24.000,00, para a manutenção referente a material e serviços da frota de veículos, equipamentos de apoio, serviço de copa, melhorias nas instalações e infraestrutura ou gastos de natureza urgente.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67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Dispõe sobre as infrações e sanções administrativas ao meio ambiente, estabelece o processo administrativo municipal para apuração destas infrações, revogando a Lei Municipal nº 3835, de 2004, que se encontra desatualizada e incompleta.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68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a abertura de crédito especial na Lei nº 5.836, de 14 de dezembro de 2022, que estima a receita e fixa a despesa do Município de Três Passos para o exercício de 2023, no valor de R$ 297.781,19, para contabilização de auxílio financeiro para aquisição e distribuição de cestas básicas aos produtores rurais atingidos pela estiagem, os quais deverão ser executados na sua integralidade até o final do exercício.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69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70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5.815, de 2022 que autoriza o Poder Executivo a firmar convênio com a Associação Hospital de Caridade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refere-se ao Convênio, especialmente no que tange ao valor repassado mensalmente, sendo o valor fixo de R$ 277.110,21, o valor das próteses R$ 5.504,02 e o valor das cirurgias R$ 37.385,77, chegando ao montante mensal de R$ 320.000,00, sendo R$ 12,58 aproximadamente por habitant</w:t>
      </w:r>
      <w:r>
        <w:rPr>
          <w:b w:val="false"/>
          <w:bCs w:val="false"/>
          <w:color w:val="auto"/>
          <w:sz w:val="28"/>
          <w:szCs w:val="28"/>
        </w:rPr>
        <w:t>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71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 Institui o Programa de Incentivo ao Desenvolvimento Econômico De Três Passos – PROSPERAR, para incrementar o setor agrossilvipastoril, o comércio e a indústria do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73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Autoriza o Poder Executivo a realizar premiações em pecúnia aos campeonatos desportivos nos bairros de Três Passos, de R$ 47.883,42, a ser dividido entre as modalidades de bocha, canastra e bolãozinho, com recursos de emenda impositiva.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 Autoriza o Poder Executivo proceder na contratação emergencial de até quarenta serventes, com carga horária semanal de 44 horas e remuneração padrão 2, pelo prazo de um ano,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75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refere-se ao aumento no valor de R$ 150,00 em cada padrão salarial.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76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Dispõe sobre as Gratificações Mensais no âmbito do Instituto de Previdência dos Servidores Públicos de Três Passos, com vistas à obtenção e manutenção da certificação em Pró-Gestão RPPS.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77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5.490, de 27 de agosto de 2019, que dispõe sobre Cria o Plano de Classificação de Cargos do Instituto de Previdência do Servidor Público do Município de Três Passos - RS.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refere-se ao aumento no valor de R$ 150,00 em cada padrão salarial.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78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refere-se ao cargo de agente de combate a endemias, no sentido de que a profissional deverá ter concluído o ensino médio para o exercício da 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79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Altera a Lei Municipal nº 4.475, de 05 de janeiro de 2011, que dispõe sobre a criação de empregos públicos para provimento das vagas de agentes comunitários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 cargo de agente comunitário de saúde, no sentido de que a profissional deverá ter concluído o ensino médio para o exercício da 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2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Application>LibreOffice/7.4.2.3$Windows_X86_64 LibreOffice_project/382eef1f22670f7f4118c8c2dd222ec7ad009daf</Application>
  <AppVersion>15.0000</AppVersion>
  <Pages>14</Pages>
  <Words>3656</Words>
  <Characters>23599</Characters>
  <CharactersWithSpaces>26890</CharactersWithSpaces>
  <Paragraphs>298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2023-12-07T10:54:11Z</dcterms:modified>
  <cp:revision>334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