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1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3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ABRIL</w:t>
      </w:r>
      <w:r>
        <w:rPr>
          <w:color w:val="0000FF"/>
          <w:sz w:val="28"/>
          <w:szCs w:val="28"/>
          <w:lang w:val="pt-BR"/>
        </w:rPr>
        <w:t xml:space="preserve">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5/25, e </w:t>
      </w: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38/25, 4</w:t>
      </w:r>
      <w:r>
        <w:rPr>
          <w:b w:val="false"/>
          <w:bCs w:val="false"/>
          <w:color w:val="auto"/>
          <w:sz w:val="28"/>
          <w:szCs w:val="28"/>
        </w:rPr>
        <w:t>7</w:t>
      </w:r>
      <w:r>
        <w:rPr>
          <w:b w:val="false"/>
          <w:bCs w:val="false"/>
          <w:color w:val="auto"/>
          <w:sz w:val="28"/>
          <w:szCs w:val="28"/>
        </w:rPr>
        <w:t xml:space="preserve">/25 </w:t>
      </w:r>
      <w:r>
        <w:rPr>
          <w:b w:val="false"/>
          <w:bCs w:val="false"/>
          <w:color w:val="auto"/>
          <w:sz w:val="28"/>
          <w:szCs w:val="28"/>
        </w:rPr>
        <w:t>e</w:t>
      </w:r>
      <w:r>
        <w:rPr>
          <w:b w:val="false"/>
          <w:bCs w:val="false"/>
          <w:color w:val="auto"/>
          <w:sz w:val="28"/>
          <w:szCs w:val="28"/>
        </w:rPr>
        <w:t xml:space="preserve"> 4</w:t>
      </w:r>
      <w:r>
        <w:rPr>
          <w:b w:val="false"/>
          <w:bCs w:val="false"/>
          <w:color w:val="auto"/>
          <w:sz w:val="28"/>
          <w:szCs w:val="28"/>
        </w:rPr>
        <w:t>8</w:t>
      </w:r>
      <w:r>
        <w:rPr>
          <w:b w:val="false"/>
          <w:bCs w:val="false"/>
          <w:color w:val="auto"/>
          <w:sz w:val="28"/>
          <w:szCs w:val="28"/>
        </w:rPr>
        <w:t>/25, cujas ementas já foram lidas na reunião anterior, da Comissão de Constituição e Justiça –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COMPLEMENTAR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5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Complementar n</w:t>
      </w:r>
      <w:r>
        <w:rPr>
          <w:b w:val="false"/>
          <w:bCs w:val="false"/>
          <w:strike/>
          <w:color w:val="auto"/>
          <w:sz w:val="28"/>
          <w:szCs w:val="28"/>
        </w:rPr>
        <w:t xml:space="preserve">º </w:t>
      </w:r>
      <w:r>
        <w:rPr>
          <w:b w:val="false"/>
          <w:bCs w:val="false"/>
          <w:color w:val="auto"/>
          <w:sz w:val="28"/>
          <w:szCs w:val="28"/>
        </w:rPr>
        <w:t>62/2020, que institui o novo Código de meio ambiente e de posturas do município de Três Passos/RS.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90, quanto à responsabilidade dos proprietários ou inquilinos de manterem seus quintais, pátios, terrenos e edificações livres de vegetação excessiva, resíduos, dejetos e águas servidas ou estagnadas.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38/25 – </w:t>
      </w:r>
      <w:r>
        <w:rPr>
          <w:b w:val="false"/>
          <w:bCs w:val="false"/>
          <w:color w:val="auto"/>
          <w:sz w:val="28"/>
          <w:szCs w:val="28"/>
        </w:rPr>
        <w:t>Institui o Programa de Escolas Cívico-militares (PECiM), no Município de Três Passos, destinado à educação básica, no âmbito das escolas municipais, com a finalidade de promover a melhoria da qualidade da educação, por meio do apoio pedagógico e extraclasse nas escolas municipais selecionadas.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As instituições de ensino participantes do PECiM funcionarão em regime de cooperação, por meio de Termo de Cooperação Técnica entre a Secretaria Municipal de Educação, Desporto e Cultura e as escolas selecionadas, na forma do Anexo I do PL.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PL está aguardando retorno do Executivo Municipal quanto à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Institui o Conselho Municipal de   Política Cultural – CMPC, revogando a lei anterior (4.156, de 11 de junho de 2008), em razão da necessidade de alteração do conselho, por se tratar de uma instância colegiada e deliberativa que define as políticas culturais do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relator</w:t>
      </w:r>
      <w:r>
        <w:rPr>
          <w:sz w:val="28"/>
          <w:szCs w:val="28"/>
        </w:rPr>
        <w:t>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Altera a Lei 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5.969, de 2023, que dispõe sobre a Política Municipal para o desenvolvimento e expansão da apicultura e meliponicultura, e institui o Programa Municipal de incentivo à apicultura e meliponicultura.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A alteração refere-se ao Art. 7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, para ampliar o acesso ao programa, garantindo um período de transição para que os novos produtores possam estruturar suas unidades e cumprir os requisitos necessários para regularização e continuidade no programa.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LibreOffice/25.2.1.2$Windows_X86_64 LibreOffice_project/d3abf4aee5fd705e4a92bba33a32f40bc4e56f49</Application>
  <AppVersion>15.0000</AppVersion>
  <Pages>4</Pages>
  <Words>950</Words>
  <Characters>6382</Characters>
  <CharactersWithSpaces>7235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2025-04-03T10:15:10Z</dcterms:modified>
  <cp:revision>203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