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10 DE JULHO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80 e 81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82 de 2025, Autoriza alteração da LOA, exercício 2025, e abertura de crédito suplementar no valor de até R$ 650.000,00.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83 de 2025, Autoriza alteração da LOA, exercício 2025, e abertura de crédito suplementar no valor de até R$ 118.800,00.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84 de 2025, Autoriza alteração da LOA, exercício 2025, e abertura de crédito especial no valor de até R$ 148.257,00.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85 de 2025, Autoriza alteração da LOA, exercício 2025, e abertura de crédito suplementar no valor de R$ 646.255,00.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86 de 2025, Dispõe sobre o Plano Plurianual para o quadriênio 2026-2029.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80/25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Município de Três Passos a celebrar convênio com a Secretaria Estadual de Educação/Governo do Estado para atuar na 21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Coordenadoria Regional de Educação – CRE, pelo período de um ano, podendo ser renovado conforme necessidade demonstrada.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Cs w:val="false"/>
          <w:color w:val="4472C4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 cedência se dará com ônus ao Município de Três Passos, sendo que em contrapartida a 21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Coordenadoria Regional de Educação cederá um professor para atuar no nosso município.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82/25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suplementar no valor de até R$ 650.000,00, para contabilização da pintura, substituição da instalação elétrica e troca do telhado do pavilhão “A” da FEICAP.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83/25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suplementar no valor de até R$ 118.800,00, para contabilização da despesa referente à compra de computadores e impressoras para reequipamento das Unidades Básicas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84/25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alteração da LOA, exercício 2025, e abertura de crédito especial no valor de até R$ 148.257,00, objetivando a abertura de dotação para contabilização correta da fonte de recurso do plano de saúde custeado pelo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85/25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Autoriza alteração da LOA, exercício 2025, e abertura de crédito suplementar no valor de R$ 646.255,00, para correta contabilização da fonte de recurso do plano de saúde custeado pelo Município.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86/25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Dispõe sobre o Plano Plurianual para o quadriênio 2026-2029.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PL contém os seguintes anexos: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1.-) O detalhamento dos quarenta e três Programas com as respectivas ações e valores correspondentes,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2.-) Diagnóstico da Secretaria Municipal de Planejamento.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3.-) Nove tabelas informativas.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4.-) Atas das reuniões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No Resumo dos Programas do PPA consta o total geral, em valores, que é de R$ 750.797.777,29.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PPA é a peça orçamentária que reflete o planejamento da administração pública municipal para os próximos quatro anos, contendo os Programas que servirão de base para a elaboração da Lei de Diretrizes Orçamentárias (Ações) e da Lei Orçamentária Anual (detalhamento da despesa).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Coloco em votação a prorrogação do prazo de sete dias úteis para elaboração da orientação técnica, em função da</w:t>
      </w:r>
      <w:r>
        <w:rPr>
          <w:color w:val="auto"/>
          <w:sz w:val="28"/>
          <w:szCs w:val="28"/>
        </w:rPr>
        <w:t xml:space="preserve"> complexidade da matéria.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No</w:t>
      </w:r>
      <w:r>
        <w:rPr>
          <w:color w:val="auto"/>
          <w:sz w:val="28"/>
          <w:szCs w:val="28"/>
        </w:rPr>
        <w:t xml:space="preserve"> período do recesso parlamentar cessa a contagem do prazo de quarenta e cinco dias que a Câmara têm para discussão e votação, e envio do PL para sanção ao Prefeito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Como a proposição foi protocolada no dia 3 de julho, o prazo de 45 dias encerra em 2 de setembro, levando-se em conta o período do recesso de 15 dias.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Especialmente, em relação ao este projeto de lei, podemos já deixar definida a data da audiência pública da fase de discussão, com a presença do Secretário Municipal de Planejamento, para o dia 19 de agosto, terça-feira, às 17h45min.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LibreOffice/25.2.4.3$Windows_X86_64 LibreOffice_project/33e196637044ead23f5c3226cde09b47731f7e27</Application>
  <AppVersion>15.0000</AppVersion>
  <Pages>7</Pages>
  <Words>1703</Words>
  <Characters>10964</Characters>
  <CharactersWithSpaces>12491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2025-07-10T10:33:40Z</dcterms:modified>
  <cp:revision>424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