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3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DIA 1</w:t>
      </w:r>
      <w:r>
        <w:rPr>
          <w:color w:val="0000FF"/>
          <w:sz w:val="28"/>
          <w:szCs w:val="28"/>
          <w:lang w:val="pt-BR"/>
        </w:rPr>
        <w:t>9</w:t>
      </w:r>
      <w:r>
        <w:rPr>
          <w:color w:val="0000FF"/>
          <w:sz w:val="28"/>
          <w:szCs w:val="28"/>
          <w:lang w:val="pt-BR"/>
        </w:rPr>
        <w:t xml:space="preserve"> DE NOVEMBRO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112 e 13</w:t>
      </w:r>
      <w:r>
        <w:rPr>
          <w:b w:val="false"/>
          <w:bCs w:val="false"/>
          <w:color w:val="auto"/>
          <w:sz w:val="28"/>
          <w:szCs w:val="28"/>
        </w:rPr>
        <w:t>3</w:t>
      </w:r>
      <w:r>
        <w:rPr>
          <w:b w:val="false"/>
          <w:bCs w:val="false"/>
          <w:color w:val="auto"/>
          <w:sz w:val="28"/>
          <w:szCs w:val="28"/>
        </w:rPr>
        <w:t xml:space="preserve"> de 2025, Projeto de </w:t>
      </w:r>
      <w:r>
        <w:rPr>
          <w:b w:val="false"/>
          <w:bCs w:val="false"/>
          <w:color w:val="auto"/>
          <w:sz w:val="28"/>
          <w:szCs w:val="28"/>
        </w:rPr>
        <w:t xml:space="preserve">Lei Legislativo nº 11 de 2025, </w:t>
      </w:r>
      <w:r>
        <w:rPr>
          <w:b w:val="false"/>
          <w:bCs w:val="false"/>
          <w:color w:val="auto"/>
          <w:sz w:val="28"/>
          <w:szCs w:val="28"/>
        </w:rPr>
        <w:t>cujas ementas já foram lidas na reunião anterior, da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</w:t>
      </w:r>
      <w:r>
        <w:rPr>
          <w:b w:val="false"/>
          <w:bCs w:val="false"/>
          <w:color w:val="auto"/>
          <w:sz w:val="28"/>
          <w:szCs w:val="28"/>
        </w:rPr>
        <w:t>4</w:t>
      </w:r>
      <w:r>
        <w:rPr>
          <w:b w:val="false"/>
          <w:bCs w:val="false"/>
          <w:color w:val="auto"/>
          <w:sz w:val="28"/>
          <w:szCs w:val="28"/>
        </w:rPr>
        <w:t xml:space="preserve"> de 2025, Estima a receita e fixa a despesa do Município de Três Passos para o exercício financeiro de 2026.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</w:t>
      </w:r>
      <w:r>
        <w:rPr>
          <w:b w:val="false"/>
          <w:bCs w:val="false"/>
          <w:color w:val="auto"/>
          <w:sz w:val="28"/>
          <w:szCs w:val="28"/>
        </w:rPr>
        <w:t>5</w:t>
      </w:r>
      <w:r>
        <w:rPr>
          <w:b w:val="false"/>
          <w:bCs w:val="false"/>
          <w:color w:val="auto"/>
          <w:sz w:val="28"/>
          <w:szCs w:val="28"/>
        </w:rPr>
        <w:t xml:space="preserve"> de 2025, Autoriza alteração da LOA, exercício 2025, e abertura de crédito especial no valor de até R$ 1.660.000,00.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112/25 – </w:t>
      </w:r>
      <w:r>
        <w:rPr>
          <w:b w:val="false"/>
          <w:bCs w:val="false"/>
          <w:color w:val="auto"/>
          <w:sz w:val="28"/>
          <w:szCs w:val="28"/>
        </w:rPr>
        <w:t>Regulamenta as atividades penosas, insalubres e perigosas no âmbito da administração pública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Encontram-se anexados à proposição 47 arquivos em formato PDF, referentes aos Laudos Técnicos das Condições Ambientais do Trabalho – LTCAT, aos Laudos Técnicos de Insalubridade/Periculosidade – LTIP e aos Programas de Controle Médico de Saúde Ocupacional – PCMSO, contendo a análise das condições de trabalho de cada secretaria.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laudos foram elaborados pela empresa Conplan Segurança e Saúde Ltda, de Ibirubá-RS.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Coloco em </w:t>
      </w:r>
      <w:r>
        <w:rPr>
          <w:color w:val="auto"/>
          <w:sz w:val="28"/>
          <w:szCs w:val="28"/>
        </w:rPr>
        <w:t>discussão a necessidade de diligência, ou seja, o ofício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1</w:t>
      </w:r>
      <w:r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/2025, enviado pelo Presidente do Sindicato dos Municipários de Três Passos, referente à apresentação e debate do laudo de insalubridade e periculosidade contratado pelo Sindicato.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</w:t>
      </w:r>
      <w:r>
        <w:rPr>
          <w:b/>
          <w:bCs w:val="false"/>
          <w:color w:val="4472C4"/>
          <w:sz w:val="28"/>
          <w:szCs w:val="28"/>
        </w:rPr>
        <w:t>3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Poder Executivo Municipal a proceder na contratação temporária de até dez motoristas, pelo prazo de um ano, prorrogável por igual período, com carga horária semanal de quarenta e quatro horas e remuneração padrão 05, para atuar junto às Secretarias Municipais de Educação, Saúde, Assistência Social e Administração.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</w:t>
      </w:r>
      <w:r>
        <w:rPr>
          <w:b/>
          <w:bCs w:val="false"/>
          <w:color w:val="4472C4"/>
          <w:sz w:val="28"/>
          <w:szCs w:val="28"/>
        </w:rPr>
        <w:t>4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Estima a receita e fixa a despesa do Município de Três Passos para o exercício financeiro de 2026.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Lei Orçamentária Anual – LOA contém o detalhamento das despesas para o ano de 2026, com base nos programas estabelecidos no Plano Plurianual - PPA e nas Ações/Metas/Prioridades especificadas na Lei de Diretrizes Orçamentárias – LDO.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orçamento para o próximo ano, de receitas e despesas, é no montante de R$ 206.921.236,38, sendo 4.308.000,00 da Câmara Municipal de Vereadores, R$ 32.780.807,46 da Administração Indireta (Instituto de Previdência), e R$ 169.832.428,92 da Administração Direta (Prefeitura Municipal).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No montante de R$ 169.832.428,92 estão incluídos, na Reserva de Contingência, os valores relativos às emendas individuais da área de saúde de R$ 1.432,660,90, das emendas individuais livre de R$ 1.432,660,90, e das emendas de Bancada também de R$ 1.432.660,90.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Coloco em discussão a necessidade de realização de audiência pública, consulta pública, diligência ou convocação de autoridade governamental para prestar esclarecimento e as respectivas providências em relação ao referido projeto, </w:t>
      </w:r>
      <w:r>
        <w:rPr>
          <w:color w:val="auto"/>
          <w:sz w:val="28"/>
          <w:szCs w:val="28"/>
        </w:rPr>
        <w:t xml:space="preserve">especialmente a audiência pública, que poderá ser na data de 9/12/2025, terça-feira, a partir das 17h45min, </w:t>
      </w:r>
      <w:r>
        <w:rPr>
          <w:color w:val="auto"/>
          <w:sz w:val="28"/>
          <w:szCs w:val="28"/>
        </w:rPr>
        <w:t>conforme cronograma estabelecido por esta Comissão, do qual passa agora a fazer a leitura.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</w:t>
      </w:r>
      <w:r>
        <w:rPr>
          <w:b/>
          <w:bCs w:val="false"/>
          <w:color w:val="4472C4"/>
          <w:sz w:val="28"/>
          <w:szCs w:val="28"/>
        </w:rPr>
        <w:t>5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alteração da LOA, exercício 2025, e abertura de crédito especial no valor de até R$ 1.660.000,00, para a contabilização da despesa de aquisição de dois imóveis, sendo: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Um prédio de esquina, localizado na quadra da Prefeitura Municipal, destinado à futura instalação da sede da Secretaria Municipal de Educação, Cultura e Desporto.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Um terreno situado ao lado da Escola Municipal de Ensino Fundamental Ildo Meneghetti, cuja aquisição se justifica pela necessidade de ampliação e melhoria da infraestrutura educacional do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 xml:space="preserve">PROJETO DE </w:t>
      </w:r>
      <w:r>
        <w:rPr>
          <w:b/>
          <w:bCs w:val="false"/>
          <w:color w:val="4472C4"/>
          <w:sz w:val="28"/>
          <w:szCs w:val="28"/>
        </w:rPr>
        <w:t>LEI LEGISLATIVO</w:t>
      </w:r>
      <w:r>
        <w:rPr>
          <w:b/>
          <w:bCs w:val="false"/>
          <w:color w:val="4472C4"/>
          <w:sz w:val="28"/>
          <w:szCs w:val="28"/>
        </w:rPr>
        <w:t xml:space="preserve">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11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D</w:t>
      </w:r>
      <w:r>
        <w:rPr>
          <w:b w:val="false"/>
          <w:bCs w:val="false"/>
          <w:color w:val="auto"/>
          <w:sz w:val="28"/>
          <w:szCs w:val="28"/>
        </w:rPr>
        <w:t>ispõe sobre o reconhecimento dos banheiros das escolas municipais como instalações de uso coletivo e de grande circulação, considerando o expressivo fluxo diário de alunos, profissionais da educação e demais usuários que utilizam tais espaços.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Este projeto de lei tem função orientativa e conceitual, estabelecendo um parâmetro técnico que auxiliará o Município na interpretação e na organização de suas políticas de proteção à saúde, manutenção das condições sanitárias, promoção de ambientes adequados à comunidade escolar e elaboração e validação de laudos, pareceres e relatórios técnicos.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</w:t>
      </w:r>
      <w:r>
        <w:rPr>
          <w:color w:val="auto"/>
          <w:sz w:val="28"/>
          <w:szCs w:val="28"/>
          <w:lang w:eastAsia="x-none"/>
        </w:rPr>
        <w:t>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Application>LibreOffice/25.2.6.2$Windows_X86_64 LibreOffice_project/729c5bfe710f5eb71ed3bbde9e06a6065e9c6c5d</Application>
  <AppVersion>15.0000</AppVersion>
  <Pages>5</Pages>
  <Words>1326</Words>
  <Characters>8727</Characters>
  <CharactersWithSpaces>9926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2025-11-19T10:00:17Z</dcterms:modified>
  <cp:revision>684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