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12</w:t>
      </w:r>
      <w:r>
        <w:rPr>
          <w:color w:val="0000FF"/>
          <w:sz w:val="32"/>
          <w:szCs w:val="32"/>
          <w:lang w:val="pt-BR"/>
        </w:rPr>
        <w:t xml:space="preserve"> DE NOVEMBRO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INVOCANDO A PROTEÇÃO DIVINA, DECLARO ABERTOS OS TRABALHOS DA PRESENTE REUNIÃO, COM A PRESENÇA DOS VEREADORES: </w:t>
      </w:r>
      <w:r>
        <w:rPr>
          <w:sz w:val="28"/>
          <w:szCs w:val="28"/>
        </w:rPr>
        <w:t>ARLEI TOMAZONI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DORILDA SARTORI, </w:t>
      </w:r>
      <w:r>
        <w:rPr>
          <w:sz w:val="28"/>
          <w:szCs w:val="28"/>
        </w:rPr>
        <w:t xml:space="preserve">EDIVAN BARON, FLAVIO HABITZREITER, MARIA HELENA, MARLI FRANKE, </w:t>
      </w:r>
      <w:r>
        <w:rPr>
          <w:sz w:val="28"/>
          <w:szCs w:val="28"/>
        </w:rPr>
        <w:t xml:space="preserve">NADER UMAR, </w:t>
      </w:r>
      <w:r>
        <w:rPr>
          <w:sz w:val="28"/>
          <w:szCs w:val="28"/>
        </w:rPr>
        <w:t xml:space="preserve">ROSANI DO NASCIMENTO, </w:t>
      </w:r>
      <w:r>
        <w:rPr>
          <w:sz w:val="28"/>
          <w:szCs w:val="28"/>
        </w:rPr>
        <w:t>VINICIUS DE ARAÚJO</w:t>
      </w:r>
      <w:r>
        <w:rPr>
          <w:sz w:val="28"/>
          <w:szCs w:val="28"/>
        </w:rPr>
        <w:t xml:space="preserve">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COMUNICADO DA CÂMARA MUNICIPAL DE TRÊS PASSOS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AUDIÊNCIA PÚBLICA: DISCUSSÃO DO PROJETO DE LEI REFERENTE À LEI ORÇAMENTÁRIA ANUAL (LOA) PARA O EXERCÍCIO FINANCEIRO DE 2019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A Câmara Municipal de Três Passos, através da Comissão de Orçamento, Finanças e Infra-Estrutura Urbana e Rural, convida todos os interessados para participarem de audiência pública, a ser realizada no dia 14 de novembro de 2018, às 16h, na Câmara Municipal de Três Passos, para discussão do projeto de lei referente à Lei Orçamentária Anual (LOA) para o exercício financeiro de 2019.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bookmarkStart w:id="0" w:name="__DdeLink__415_2981339030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Nº </w:t>
      </w:r>
      <w:r>
        <w:rPr>
          <w:bCs/>
          <w:sz w:val="28"/>
          <w:szCs w:val="28"/>
        </w:rPr>
        <w:t>74</w:t>
      </w:r>
      <w:r>
        <w:rPr>
          <w:bCs/>
          <w:sz w:val="28"/>
          <w:szCs w:val="28"/>
        </w:rPr>
        <w:t>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Dorilda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Nader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Willian</w:t>
      </w:r>
    </w:p>
    <w:p>
      <w:pPr>
        <w:pStyle w:val="Normal"/>
        <w:jc w:val="both"/>
        <w:rPr/>
      </w:pPr>
      <w:r>
        <w:rPr>
          <w:b/>
          <w:bCs/>
          <w:color w:val="00000A"/>
          <w:sz w:val="32"/>
          <w:szCs w:val="32"/>
        </w:rPr>
        <w:t>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Rosani do Nascimento </w:t>
      </w:r>
      <w:r>
        <w:rPr>
          <w:b/>
          <w:bCs/>
          <w:color w:val="0000FF"/>
          <w:sz w:val="28"/>
          <w:szCs w:val="28"/>
        </w:rPr>
        <w:t>e Maria Helena Krummenauer</w:t>
      </w:r>
      <w:r>
        <w:rPr>
          <w:b/>
          <w:bCs/>
          <w:color w:val="0000FF"/>
          <w:sz w:val="28"/>
          <w:szCs w:val="28"/>
        </w:rPr>
        <w:t xml:space="preserve">,  E DA COMISSÃO DE ORÇAMENTO, FINANÇAS E INFRA-ESTRUTURA URBANA E RURAL, através de seus membros: Vinicius de Araújo </w:t>
      </w:r>
      <w:r>
        <w:rPr>
          <w:b/>
          <w:bCs/>
          <w:color w:val="0000FF"/>
          <w:sz w:val="28"/>
          <w:szCs w:val="28"/>
        </w:rPr>
        <w:t>e Marli Franke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72</w:t>
      </w:r>
      <w:r>
        <w:rPr>
          <w:b/>
          <w:bCs/>
          <w:color w:val="0000FF"/>
          <w:sz w:val="28"/>
          <w:szCs w:val="28"/>
        </w:rPr>
        <w:t xml:space="preserve">/18 – </w:t>
      </w:r>
      <w:r>
        <w:rPr>
          <w:b/>
          <w:bCs/>
          <w:color w:val="auto"/>
          <w:sz w:val="28"/>
          <w:szCs w:val="28"/>
        </w:rPr>
        <w:t xml:space="preserve">AUTORIZA O PODER EXECUTIVO MUNICIPAL A PROCEDER NA CONTRATAÇÃO EMERGENCIAL DE 01 (UM) PROFISSIONAL OFICINEIRO </w:t>
      </w:r>
      <w:r>
        <w:rPr>
          <w:b/>
          <w:bCs/>
          <w:color w:val="auto"/>
          <w:sz w:val="28"/>
          <w:szCs w:val="28"/>
        </w:rPr>
        <w:t>DE CAPOEIRA PARA ATUAR NA SECRETARIA MUNICIPAL DE ASSISTÊNCIA SOCIAL, JUNTO AO SERVIÇO DE CONVIVÊNCIA E FORTALECIMENTO DE VÍNCULOS, POR 08 (OITO) HORAS SEMANAIS, PELO PERÍODO DE 01 (UM) ANO, PODENDO SER PORRROGADO POR IGUAL PERÍODO.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72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72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pBdr>
          <w:bottom w:val="single" w:sz="8" w:space="2" w:color="000001"/>
        </w:pBdr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pBdr>
          <w:bottom w:val="single" w:sz="8" w:space="2" w:color="000001"/>
        </w:pBdr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Vinicius de Araújo </w:t>
      </w:r>
      <w:r>
        <w:rPr>
          <w:b/>
          <w:bCs/>
          <w:color w:val="0000FF"/>
          <w:sz w:val="28"/>
          <w:szCs w:val="28"/>
        </w:rPr>
        <w:t>e Marli Franke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73</w:t>
      </w:r>
      <w:r>
        <w:rPr>
          <w:b/>
          <w:bCs/>
          <w:color w:val="0000FF"/>
          <w:sz w:val="28"/>
          <w:szCs w:val="28"/>
        </w:rPr>
        <w:t xml:space="preserve">/18  -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AUTORIZA ABERTURA DE CRÉDITO ESPECIAL NO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ORÇAMENTO VIGENTE NO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VALOR DE R$ 16.670,71 .</w:t>
      </w:r>
    </w:p>
    <w:p>
      <w:pPr>
        <w:pStyle w:val="Normal"/>
        <w:bidi w:val="0"/>
        <w:spacing w:lineRule="auto" w:line="240"/>
        <w:ind w:hanging="0"/>
        <w:jc w:val="both"/>
        <w:rPr/>
      </w:pPr>
      <w:r>
        <w:rPr>
          <w:rFonts w:cs="Arial" w:ascii="Times New Roman" w:hAnsi="Times New Roman"/>
          <w:b/>
          <w:bCs/>
          <w:color w:val="auto"/>
          <w:sz w:val="28"/>
          <w:szCs w:val="28"/>
        </w:rPr>
        <w:t>T</w:t>
      </w:r>
      <w:r>
        <w:rPr>
          <w:rFonts w:cs="Arial" w:ascii="Times New Roman" w:hAnsi="Times New Roman"/>
          <w:b/>
          <w:bCs/>
          <w:color w:val="auto"/>
          <w:sz w:val="28"/>
          <w:szCs w:val="28"/>
        </w:rPr>
        <w:t>RATA-SE DE OPERAÇÃO INTRAORÇAMENTÁRIA,  ONDE A RECEITA SERÁ REGISTRADA TAMBÉM COMO UMA OPERAÇÃO INTRAORÇAMENTÁRIA E ESTE RECURSO ENTÃO PODERÁ SER UTILIZADO PARA AQUISIÇÃO DE NOVOS BENS PARA SECRETARIA QUE TRANSFERIU O BEM (VEÍCULO KOMBI IMZ-7137).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73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73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Dorilda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 PROJETO DE LEI LIDO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SOLICITO AOS VEREADORES EDIVAN BARON E </w:t>
      </w:r>
      <w:r>
        <w:rPr>
          <w:sz w:val="28"/>
          <w:szCs w:val="28"/>
        </w:rPr>
        <w:t>VINICIUS DE ARAÚJO</w:t>
      </w:r>
      <w:r>
        <w:rPr>
          <w:sz w:val="28"/>
          <w:szCs w:val="28"/>
        </w:rPr>
        <w:t>, PRESIDENTE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DA COMISSÃO DE CONSTITUIÇÃO E REDAÇÃO – CCR E  </w:t>
      </w:r>
      <w:r>
        <w:rPr>
          <w:sz w:val="28"/>
          <w:szCs w:val="28"/>
        </w:rPr>
        <w:t>DA</w:t>
      </w:r>
      <w:r>
        <w:rPr>
          <w:sz w:val="28"/>
          <w:szCs w:val="28"/>
        </w:rPr>
        <w:t xml:space="preserve">  COMISSÃO DE ORÇAMENTO E FINANÇAS – COF, PARA QUE DESIGNEM OS RELATORES AO SEGUINTE PROJETO DE LEI: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- 7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/18: </w:t>
      </w:r>
      <w:r>
        <w:rPr>
          <w:sz w:val="28"/>
          <w:szCs w:val="28"/>
        </w:rPr>
        <w:t>AUTORIZA A CONTRATAÇÃO TEMPORÁRIA DE SERVIDOR PARA ATUAR COMO SECRETÁRIO ACADÊMICO NO POLO UNIVERSITÁRIO FEDERAL – UAB.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OS RELATORES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VEREADOR </w:t>
      </w:r>
      <w:r>
        <w:rPr>
          <w:sz w:val="28"/>
          <w:szCs w:val="28"/>
        </w:rPr>
        <w:t>VINICIUS DE ARAÚJO</w:t>
      </w:r>
      <w:r>
        <w:rPr>
          <w:sz w:val="28"/>
          <w:szCs w:val="28"/>
        </w:rPr>
        <w:t xml:space="preserve"> – PRESIDENTE DA COF: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58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2pt;margin-top:0.05pt;width:13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C380-AE75-4F9C-804B-1E8EF2C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Application>LibreOffice/5.4.7.2$Windows_X86_64 LibreOffice_project/c838ef25c16710f8838b1faec480ebba495259d0</Application>
  <Pages>3</Pages>
  <Words>637</Words>
  <Characters>3915</Characters>
  <CharactersWithSpaces>4490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2018-10-15T17:16:41Z</dcterms:created>
  <dc:creator/>
  <dc:description/>
  <dc:language>pt-BR</dc:language>
  <cp:lastModifiedBy/>
  <cp:lastPrinted>2018-11-12T15:49:43Z</cp:lastPrinted>
  <dcterms:modified xsi:type="dcterms:W3CDTF">2018-11-12T15:51:10Z</dcterms:modified>
  <cp:revision>371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