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6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23</w:t>
      </w:r>
      <w:r>
        <w:rPr>
          <w:strike w:val="false"/>
          <w:dstrike w:val="false"/>
          <w:color w:val="0000FF"/>
          <w:sz w:val="32"/>
          <w:szCs w:val="32"/>
        </w:rPr>
        <w:t xml:space="preserve"> DE SETEMBRO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A Câmara Municipal de Vereadores de Três Passos, através da Comissão de Orçamento e Finanças, convida todos os interessados para participar de audiência pública, a ser realizada </w:t>
      </w:r>
      <w:r>
        <w:rPr>
          <w:b w:val="false"/>
          <w:bCs w:val="false"/>
          <w:szCs w:val="28"/>
        </w:rPr>
        <w:t xml:space="preserve">nesta quinta-feira, </w:t>
      </w:r>
      <w:r>
        <w:rPr>
          <w:b w:val="false"/>
          <w:bCs w:val="false"/>
          <w:szCs w:val="28"/>
        </w:rPr>
        <w:t xml:space="preserve">26 de setembro de 2019, às 17h30min, </w:t>
      </w:r>
      <w:r>
        <w:rPr>
          <w:b w:val="false"/>
          <w:bCs w:val="false"/>
          <w:szCs w:val="28"/>
        </w:rPr>
        <w:t>nesta Casa Legislativa</w:t>
      </w:r>
      <w:r>
        <w:rPr>
          <w:b w:val="false"/>
          <w:bCs w:val="false"/>
          <w:szCs w:val="28"/>
        </w:rPr>
        <w:t>, para demonstração e avaliação do cumprimento das metas fiscais, referente ao 2</w:t>
      </w:r>
      <w:r>
        <w:rPr>
          <w:b w:val="false"/>
          <w:bCs w:val="false"/>
          <w:strike/>
          <w:szCs w:val="28"/>
        </w:rPr>
        <w:t>º</w:t>
      </w:r>
      <w:r>
        <w:rPr>
          <w:b w:val="false"/>
          <w:bCs w:val="false"/>
          <w:szCs w:val="28"/>
        </w:rPr>
        <w:t xml:space="preserve"> quadrimestre do ano de 2019 (meses de maio a agosto),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Participe você também desta importante audiência pública e fique por dentro da execução da receita e da despesa no período, bem como </w:t>
      </w:r>
      <w:r>
        <w:rPr>
          <w:b w:val="false"/>
          <w:bCs w:val="false"/>
          <w:szCs w:val="28"/>
        </w:rPr>
        <w:t>d</w:t>
      </w:r>
      <w:r>
        <w:rPr>
          <w:b w:val="false"/>
          <w:bCs w:val="false"/>
          <w:szCs w:val="28"/>
        </w:rPr>
        <w:t>o nível de endividamento do Município e os riscos capazes de afetar as contas públicas.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/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PROJETOS DE LEI Nºs 7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/19, </w:t>
      </w:r>
      <w:r>
        <w:rPr>
          <w:bCs/>
          <w:sz w:val="28"/>
          <w:szCs w:val="28"/>
        </w:rPr>
        <w:t>77/19, 78/19, 79/19 E 80/19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PROJETOS DE LEI COMPLEMENTAR NºS 6/19 A 8/19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INDICAÇÕES </w:t>
      </w:r>
      <w:r>
        <w:rPr>
          <w:bCs/>
          <w:sz w:val="28"/>
          <w:szCs w:val="28"/>
        </w:rPr>
        <w:t>E PEDIDOS DE PROVIDÊNCIAS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Flávio Habitzreiter</w:t>
      </w:r>
      <w:r>
        <w:rPr>
          <w:b/>
          <w:bCs/>
          <w:color w:val="0000FF"/>
          <w:sz w:val="28"/>
          <w:szCs w:val="28"/>
        </w:rPr>
        <w:t xml:space="preserve">,  E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 Rhoden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71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Autoriza o Poder Executivo a firmar convênio de cooperação mútua intermunicipal com os municípios que integram o Serviço de Atendimento Móvel de Urgência (SAMU/SALVAR 192).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objetivo é retomar os serviços do Programa Samu/Salvar por meio de convênio, a ser assinado entre os Municípios de Bom Progresso, Esperança do Sul, Tiradentes do Sul, Humaitá e Sede Nova.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FF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Flávio Habitzreiter</w:t>
      </w:r>
      <w:r>
        <w:rPr>
          <w:b/>
          <w:bCs/>
          <w:color w:val="0000FF"/>
          <w:sz w:val="28"/>
          <w:szCs w:val="28"/>
        </w:rPr>
        <w:t>,  E DA COMISSÃO DE ORÇAMENTO, FINANÇAS E INFRA-ESTRUTURA URBANA E RURAL, através de seus membros: Marli Franke, Ido Rhoden e Arlei Tomazoni, cuj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Marli Franke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</w:t>
      </w:r>
      <w:r>
        <w:rPr>
          <w:b/>
          <w:bCs/>
          <w:color w:val="0000FF"/>
          <w:sz w:val="28"/>
          <w:szCs w:val="28"/>
        </w:rPr>
        <w:t>2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Autoriza a contratação emergencial de seis condutores de amgulância e seis técnicos em enfermagem, para atuarem junto ao Programa Samu/Salvar.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carga horária será de 36 horas semanais, o vencimento mensal dos técnicos em enfermagem socorristas será de R$ 1.567,81 e dos profissionais condutores de ambulância será de R$ 1.265,63.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FF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 Tomazoni</w:t>
      </w:r>
      <w:r>
        <w:rPr>
          <w:b/>
          <w:bCs/>
          <w:color w:val="0000FF"/>
          <w:sz w:val="28"/>
          <w:szCs w:val="28"/>
        </w:rPr>
        <w:t>, emitem PARECER FAVORÁVEL</w:t>
      </w:r>
      <w:bookmarkStart w:id="0" w:name="__DdeLink__1303_19550995821"/>
      <w:bookmarkEnd w:id="0"/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</w:t>
      </w:r>
      <w:r>
        <w:rPr>
          <w:b/>
          <w:bCs/>
          <w:color w:val="0000FF"/>
          <w:sz w:val="28"/>
          <w:szCs w:val="28"/>
        </w:rPr>
        <w:t>3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Autoriza a abertura de crédito especial no valor de R$ 6.862,00 no orçamento vigente, para correta contabilização de aquisição de software para relógio ponto biométrico, não prevista quando da elaboração do orçamento para este ano.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Willian Heineck, Jair Locatelli e Flávio Habitzreiter, cujo relator é o vereador </w:t>
      </w:r>
      <w:r>
        <w:rPr>
          <w:b/>
          <w:bCs/>
          <w:color w:val="0000FF"/>
          <w:sz w:val="28"/>
          <w:szCs w:val="28"/>
        </w:rPr>
        <w:t>Flávio Habitzreiter,</w:t>
      </w:r>
      <w:r>
        <w:rPr>
          <w:b/>
          <w:bCs/>
          <w:color w:val="0000FF"/>
          <w:sz w:val="28"/>
          <w:szCs w:val="28"/>
        </w:rPr>
        <w:t xml:space="preserve">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</w:t>
      </w:r>
      <w:r>
        <w:rPr>
          <w:b/>
          <w:bCs/>
          <w:color w:val="0000FF"/>
          <w:sz w:val="28"/>
          <w:szCs w:val="28"/>
        </w:rPr>
        <w:t>9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Institui o “Dia do Ciclista” no Município de Três Passos, a ser celebrado no dia 13 de abril de cada ano.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</w:t>
      </w:r>
      <w:r>
        <w:rPr>
          <w:color w:val="0563C1"/>
          <w:sz w:val="28"/>
          <w:szCs w:val="28"/>
        </w:rPr>
        <w:t>5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</w:t>
      </w:r>
      <w:r>
        <w:rPr>
          <w:color w:val="0563C1"/>
          <w:sz w:val="28"/>
          <w:szCs w:val="28"/>
        </w:rPr>
        <w:t>8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</w:t>
      </w:r>
      <w:r>
        <w:rPr>
          <w:color w:val="0563C1"/>
          <w:sz w:val="28"/>
          <w:szCs w:val="28"/>
        </w:rPr>
        <w:t>9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80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</w:t>
      </w:r>
      <w:r>
        <w:rPr>
          <w:color w:val="0563C1"/>
          <w:sz w:val="28"/>
          <w:szCs w:val="28"/>
        </w:rPr>
        <w:t xml:space="preserve"> COMPLEMENTAR </w:t>
      </w:r>
      <w:r>
        <w:rPr>
          <w:color w:val="0563C1"/>
          <w:sz w:val="28"/>
          <w:szCs w:val="28"/>
        </w:rPr>
        <w:t xml:space="preserve">Nº </w:t>
      </w:r>
      <w:r>
        <w:rPr>
          <w:color w:val="0563C1"/>
          <w:sz w:val="28"/>
          <w:szCs w:val="28"/>
        </w:rPr>
        <w:t>6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</w:t>
      </w:r>
      <w:r>
        <w:rPr>
          <w:color w:val="0563C1"/>
          <w:sz w:val="28"/>
          <w:szCs w:val="28"/>
        </w:rPr>
        <w:t xml:space="preserve"> COMPLEMENTAR </w:t>
      </w:r>
      <w:r>
        <w:rPr>
          <w:color w:val="0563C1"/>
          <w:sz w:val="28"/>
          <w:szCs w:val="28"/>
        </w:rPr>
        <w:t xml:space="preserve">Nº 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</w:t>
      </w:r>
      <w:r>
        <w:rPr>
          <w:color w:val="0563C1"/>
          <w:sz w:val="28"/>
          <w:szCs w:val="28"/>
        </w:rPr>
        <w:t xml:space="preserve"> COMPLEMENTAR </w:t>
      </w:r>
      <w:r>
        <w:rPr>
          <w:color w:val="0563C1"/>
          <w:sz w:val="28"/>
          <w:szCs w:val="28"/>
        </w:rPr>
        <w:t xml:space="preserve">Nº </w:t>
      </w:r>
      <w:r>
        <w:rPr>
          <w:color w:val="0563C1"/>
          <w:sz w:val="28"/>
          <w:szCs w:val="28"/>
        </w:rPr>
        <w:t>8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tabs>
          <w:tab w:val="left" w:pos="1020" w:leader="none"/>
        </w:tabs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32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bookmarkStart w:id="1" w:name="_GoBack"/>
      <w:bookmarkEnd w:id="1"/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Tocha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82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65pt;margin-top:0.05pt;width:16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6836</TotalTime>
  <Application>LibreOffice/5.4.7.2$Windows_X86_64 LibreOffice_project/c838ef25c16710f8838b1faec480ebba495259d0</Application>
  <Pages>4</Pages>
  <Words>1002</Words>
  <Characters>6169</Characters>
  <CharactersWithSpaces>7082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2019-09-23T15:12:00Z</dcterms:modified>
  <cp:revision>1001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