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4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EXTRAORDINÁRIA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  <w:lang w:val="pt-BR"/>
        </w:rPr>
        <w:t xml:space="preserve">DIA </w:t>
      </w:r>
      <w:r>
        <w:rPr>
          <w:color w:val="0000FF"/>
          <w:sz w:val="32"/>
          <w:szCs w:val="32"/>
          <w:lang w:val="pt-BR"/>
        </w:rPr>
        <w:t>13</w:t>
      </w:r>
      <w:r>
        <w:rPr>
          <w:color w:val="0000FF"/>
          <w:sz w:val="32"/>
          <w:szCs w:val="32"/>
        </w:rPr>
        <w:t xml:space="preserve"> DE DEZEMBRO</w:t>
      </w:r>
      <w:r>
        <w:rPr>
          <w:color w:val="0000FF"/>
          <w:sz w:val="32"/>
          <w:szCs w:val="32"/>
          <w:lang w:val="pt-BR"/>
        </w:rPr>
        <w:t xml:space="preserve"> DE 2019, às 13h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CONVIDO O SENHOR SECRETÁRIO PARA QUE FAÇA A LEITURA DA MENSAGEM RETIFICATIVA AO PROJETO DE LEI Nº 108/19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Flávio Habitzreiter  e Rosani do Nascimento, cujo relator é o vereador Willlian, E DA COMISSÃO DE ORÇAMENTO, FINANÇAS E INFRA-ESTRUTURA URBANA E RURAL, através de seus membros: Marli Franke, Ido Rhoden e Arlei Tomazoni, cujo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es são</w:t>
      </w:r>
      <w:r>
        <w:rPr>
          <w:b/>
          <w:bCs/>
          <w:color w:val="0000FF"/>
          <w:sz w:val="28"/>
          <w:szCs w:val="28"/>
        </w:rPr>
        <w:t xml:space="preserve"> 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Arlei e Ido</w:t>
      </w:r>
      <w:r>
        <w:rPr>
          <w:b/>
          <w:bCs/>
          <w:color w:val="0000FF"/>
          <w:sz w:val="28"/>
          <w:szCs w:val="28"/>
        </w:rPr>
        <w:t>, emitem PARECERES FAVORÁVEIS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102/19, 103/19 e 104/19 –  </w:t>
      </w:r>
      <w:r>
        <w:rPr>
          <w:b/>
          <w:bCs/>
          <w:color w:val="auto"/>
          <w:sz w:val="28"/>
          <w:szCs w:val="28"/>
        </w:rPr>
        <w:t xml:space="preserve">Dispõem sobre a contratação emergencial de dois agentes comunitários de saúde (micro áreas 1 e 32); de dois técnicos em enfermagem, ampliando de duas para quatro vagas, conforme previsto inicialmente na lei municipal nº 5.477, de 2019; de dois enfermeiros, também ampliando o número de duas para quatro vagas, conforme lei municipal nº 5.463, de 2019.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102/19, 103/19 E 104/19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102/19, 103/19 E 104/19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1" w:name="__DdeLink__1303_1955099582"/>
      <w:bookmarkEnd w:id="1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a abertura de crédito adicional especial no orçamento vigente no valor de R$ 1.000.000,00, a fim de que possa ser contabilizado o empréstimo ao Hospital de Caridade, despesa esta que não estava prevista.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2" w:name="__DdeLink__1303_19550995821"/>
      <w:bookmarkEnd w:id="2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106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Altera a Lei Municipal nº 5.370, de 2018, que dispõe sobre diretrizes orçamentárias para o ano de 2019.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é no sentido de que seja a excluída a previsão de pagamento de juros, mantendo-se apenas a necessidade de correção monetária do valor objeto de empréstimo concedido pela Administração Municipal.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 e Rosani do Nascimento, cujo relator é o vereador </w:t>
      </w:r>
      <w:r>
        <w:rPr>
          <w:b/>
          <w:bCs/>
          <w:color w:val="0000FF"/>
          <w:sz w:val="28"/>
          <w:szCs w:val="28"/>
        </w:rPr>
        <w:t>Flávio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PARECERES FAVORÁVEIS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107/19</w:t>
      </w:r>
      <w:r>
        <w:rPr>
          <w:b/>
          <w:bCs/>
          <w:color w:val="0000FF"/>
          <w:sz w:val="28"/>
          <w:szCs w:val="28"/>
        </w:rPr>
        <w:t xml:space="preserve"> –  </w:t>
      </w:r>
      <w:r>
        <w:rPr>
          <w:b/>
          <w:bCs/>
          <w:color w:val="00000A"/>
          <w:sz w:val="28"/>
          <w:szCs w:val="28"/>
        </w:rPr>
        <w:t>Autoriza o Município de Três Passos a efetuar empréstimo de recursos financeiros para a Associação Hospital de Caridade de Três Passos, no valor de R$ 1.000.000,00.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</w:t>
      </w:r>
      <w:r>
        <w:rPr>
          <w:sz w:val="28"/>
          <w:szCs w:val="28"/>
        </w:rPr>
        <w:t>ADA MAIS HAVENDO A TRATAR, ENCERRO A PRESENTE SESSÃO.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71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95pt;margin-top:0.05pt;width:1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8204</TotalTime>
  <Application>LibreOffice/5.4.7.2$Windows_X86_64 LibreOffice_project/c838ef25c16710f8838b1faec480ebba495259d0</Application>
  <Pages>2</Pages>
  <Words>561</Words>
  <Characters>3350</Characters>
  <CharactersWithSpaces>3888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dcterms:modified xsi:type="dcterms:W3CDTF">2019-12-13T09:45:30Z</dcterms:modified>
  <cp:revision>1200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