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10 DE AGOSTO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39/20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MENSAGEM RETIFICATIVA AO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38/20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INDICAÇÃO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PEDIDO DE PROVIDÊNCIAS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REQUERIMENTOS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Willian Heineck, cujo relator é o vereador Willian, E DA COMISSÃO DE ORÇAMENTO, FINANÇAS E INFRA-ESTRUTURA URBANA E RURAL, através de seus membros: Ido Rhoden, Arlei Tomazoni e Marli Franke, cujo relator é a vereadora Marli,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34/20 - </w:t>
      </w:r>
      <w:r>
        <w:rPr>
          <w:b/>
          <w:bCs/>
          <w:color w:val="00000A"/>
          <w:sz w:val="28"/>
          <w:szCs w:val="28"/>
        </w:rPr>
        <w:t>Revoga 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3.254/1999 e altera o art. 1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da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3.999/2006</w:t>
      </w:r>
      <w:r>
        <w:rPr>
          <w:b w:val="false"/>
          <w:bCs w:val="false"/>
          <w:color w:val="00000A"/>
          <w:sz w:val="28"/>
          <w:szCs w:val="28"/>
        </w:rPr>
        <w:t xml:space="preserve">, </w:t>
      </w:r>
      <w:r>
        <w:rPr>
          <w:b/>
          <w:bCs/>
          <w:color w:val="00000A"/>
          <w:sz w:val="28"/>
          <w:szCs w:val="28"/>
        </w:rPr>
        <w:t>a fim de cancelar a destinação da área de 37,81m²,  na qual consta que a área será “incorporada a área de recreação ali existente”, uma vez não havendo área de recreação instituída no local, não há razão para manutenção da referida vinculação.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Referido terreno localiza-se no Bairro Glória e foi vendida recentemente pela municipalidade, por meio de concorrência pública.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34/20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34/20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3312_138088778911"/>
      <w:bookmarkEnd w:id="0"/>
      <w:r>
        <w:rPr>
          <w:b/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Willian Heineck, cujo relator é o vereador Willian, E DA COMISSÃO DE ORÇAMENTO, FINANÇAS E INFRA-ESTRUTURA URBANA E RURAL, através de seus membros: Ido Rhoden, Arlei Tomazoni e Marli Franke, cuja relatora é a vereadora Marli,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35/20 - </w:t>
      </w:r>
      <w:r>
        <w:rPr>
          <w:b/>
          <w:bCs/>
          <w:color w:val="00000A"/>
          <w:sz w:val="28"/>
          <w:szCs w:val="28"/>
        </w:rPr>
        <w:t>Prevê a atualização das alíquotas de custeio do Regime de Previdência Social, especialmente a alíquota de Custeio Suplementar, de forma a compatibilizar as informações contidas no sistema de Previdência Social com a nova projeção atuarial.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Para o ano de 2020 a alíquota de custeio suplementar é de R$ 27,10%.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A atualização proposta pelo presente projeto se dará a partir do ano de 2022, passando a alíquota para 28,30%, aumentando sucessivamente a cada ano, conforme o novo cálculo atuarial.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Bem como à Mensagem Retificativa enviada pelo Executivo Municipal, conforme orientação técnica, a qual altera também o art. 3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da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3.544, de 2000, no sentido de atualizar o percentual de contribuição dos segurados (servidores) ao Instituto de Previdência, a qual passou para 14%, </w:t>
      </w:r>
      <w:r>
        <w:rPr>
          <w:b/>
          <w:bCs/>
          <w:color w:val="00000A"/>
          <w:sz w:val="28"/>
          <w:szCs w:val="28"/>
        </w:rPr>
        <w:t>conforme orientação técnica.</w:t>
      </w:r>
    </w:p>
    <w:p>
      <w:pPr>
        <w:pStyle w:val="Normal"/>
        <w:jc w:val="both"/>
        <w:rPr>
          <w:b/>
          <w:b/>
          <w:bCs/>
          <w:color w:val="00000A"/>
          <w:sz w:val="16"/>
          <w:szCs w:val="16"/>
          <w:highlight w:val="green"/>
        </w:rPr>
      </w:pPr>
      <w:r>
        <w:rPr>
          <w:b/>
          <w:bCs/>
          <w:color w:val="00000A"/>
          <w:sz w:val="16"/>
          <w:szCs w:val="16"/>
          <w:highlight w:val="green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35/20, juntamente com a mensagem retificativa.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35/20, 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/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Willian Heineck, cujo relator é o vereador Locatelli, E DA COMISSÃO DE ORÇAMENTO, FINANÇAS E INFRA-ESTRUTURA URBANA E RURAL, através de seus membros: Ido Rhoden, Arlei Tomazoni e Marli Franke, cujo relator é o vereador Arlei,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36/20 - </w:t>
      </w:r>
      <w:r>
        <w:rPr>
          <w:b/>
          <w:bCs/>
          <w:color w:val="00000A"/>
          <w:sz w:val="28"/>
          <w:szCs w:val="28"/>
        </w:rPr>
        <w:t>Altera 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5.416, de 14 de dezembro de 2018, que dispõe sobre o pagamento de honorários advocatícios de sucumbência aos advogados públicos nas causas em que for parte o Município de Três Passos.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A alteração se dá para haver maior tempo hábil para o processamento, junto à Secretaria Municipal de Finanças, doa retenção e desconto, direto na fonte, do imposto de renda correspondente.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0A"/>
          <w:sz w:val="16"/>
          <w:szCs w:val="16"/>
          <w:highlight w:val="green"/>
        </w:rPr>
      </w:pPr>
      <w:r>
        <w:rPr>
          <w:b/>
          <w:bCs/>
          <w:color w:val="00000A"/>
          <w:sz w:val="16"/>
          <w:szCs w:val="16"/>
          <w:highlight w:val="green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36/20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36/20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Willian Heineck, cujo relator é o vereador Locatelli, E DA COMISSÃO DE ORÇAMENTO, FINANÇAS E INFRA-ESTRUTURA URBANA E RURAL, através de seus membros: Ido Rhoden, Arlei Tomazoni e Marli Franke, cujo relator é o vereador Ido,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38/20 - </w:t>
      </w:r>
      <w:r>
        <w:rPr>
          <w:b/>
          <w:bCs/>
          <w:color w:val="00000A"/>
          <w:sz w:val="28"/>
          <w:szCs w:val="28"/>
        </w:rPr>
        <w:t>Autoriza o Poder Executivo Municipal a proceder na contratação emergencial de 01 (um) Agente Comunitário de Saúde, com carga horária de 40 horas semanais, para atuar na localidade de Alto Diamantino, em função de que a profissional que atuava em tal área requereu a sua exoneração.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Este projeto recebeu mensagem retificativa do Executivo Municipal, conforme orientação técnica.</w:t>
      </w:r>
    </w:p>
    <w:p>
      <w:pPr>
        <w:pStyle w:val="Normal"/>
        <w:jc w:val="both"/>
        <w:rPr>
          <w:b/>
          <w:b/>
          <w:bCs/>
          <w:color w:val="00000A"/>
          <w:sz w:val="16"/>
          <w:szCs w:val="16"/>
          <w:highlight w:val="green"/>
        </w:rPr>
      </w:pPr>
      <w:r>
        <w:rPr>
          <w:b/>
          <w:bCs/>
          <w:color w:val="00000A"/>
          <w:sz w:val="16"/>
          <w:szCs w:val="16"/>
          <w:highlight w:val="green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38/20, juntamente com a mensagem retificativa.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38/20, 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JAIR LOCATELLI, PRESIDENTE DA COMISSÃO DE CONSTITUIÇÃO E REDAÇÃO – CCR E VEREADOR IDO RHODEN, PRESIDENTE DA COMISSÃO DE ORÇAMENTO E FINANÇAS – COF, PARA QUE DESIGNEM OS RELATORES, QUE ANALISARÃO A MATÉRIA, ELABORARÃO OS SEUS RELATÓRIOS E PROFERIRÃO OS SEUS VOTOS ATÉ A PRÓXIMA REUNIÃO ORDINÁRIA OU EXTRAORDINÁRIA DAS COMISSÕES PERMANENTES: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39/20: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54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3pt;margin-top:0.05pt;width:17.6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Application>LibreOffice/5.4.7.2$Windows_X86_64 LibreOffice_project/c838ef25c16710f8838b1faec480ebba495259d0</Application>
  <Pages>3</Pages>
  <Words>944</Words>
  <Characters>5559</Characters>
  <CharactersWithSpaces>6455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2020-08-10T11:05:14Z</cp:lastPrinted>
  <dcterms:modified xsi:type="dcterms:W3CDTF">2020-08-10T14:07:24Z</dcterms:modified>
  <cp:revision>56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