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0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11/04/2022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11/04/2022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21:20.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19" w:right="137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>: Edivan Nelsi Baron/PTB; Evandro Luis Mohr/MDB; Flavio Habitzreiter/PTB; Gilmar Maier/PT; Ingomar Sandtner/PSDB; Jair Locatelli/PSDB; João Roque Boll/PP; Liane Maria Schussler Konrad/PSDB; Luis da Silva/PTB; Nelita Francisca Real/PT; Paulo Gilceu 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567" w:leader="none"/>
          <w:tab w:val="left" w:pos="1014" w:leader="none"/>
          <w:tab w:val="left" w:pos="1438" w:leader="none"/>
          <w:tab w:val="left" w:pos="4429" w:leader="none"/>
          <w:tab w:val="left" w:pos="5833" w:leader="none"/>
          <w:tab w:val="left" w:pos="7148" w:leader="none"/>
          <w:tab w:val="left" w:pos="7572" w:leader="none"/>
          <w:tab w:val="left" w:pos="8349" w:leader="none"/>
          <w:tab w:val="left" w:pos="8670" w:leader="none"/>
        </w:tabs>
        <w:spacing w:lineRule="auto" w:line="240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78/22,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atualização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Código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 Ofício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79/22,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81/22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65/21.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</w:t>
      </w:r>
      <w:r>
        <w:rPr>
          <w:rFonts w:ascii="Arial" w:hAnsi="Arial"/>
          <w:w w:val="115"/>
          <w:sz w:val="24"/>
          <w:szCs w:val="24"/>
        </w:rPr>
        <w:t>28/22 a 31/22,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ao Prefeito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redação ﬁnal 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26/22, 28/22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29/22, bem com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5/22.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83/22 e 84/22, ao 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10/22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11/22. Ofício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84/22,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19/22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20/22.Ofício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85/22,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encaminhando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47/22 a 52/22.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90/22,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32/22,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Permanentes. Ofícios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88/22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90/22,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SEDUC,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9/22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repúdio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contraturno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ensino.</w:t>
      </w:r>
    </w:p>
    <w:p>
      <w:pPr>
        <w:pStyle w:val="Corpodotexto"/>
        <w:spacing w:before="186" w:after="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34  de  2022</w:t>
      </w:r>
      <w:r>
        <w:rPr>
          <w:rFonts w:ascii="Arial" w:hAnsi="Arial"/>
          <w:w w:val="115"/>
          <w:sz w:val="24"/>
          <w:szCs w:val="24"/>
        </w:rPr>
        <w:t>,  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difícil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 outras providências. Autor: Arlei Luis Tomazoni - Prefeito, Número de Protocolo: 51,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e distribuída às Comissões Permanentes – Relator da CCR Flavio Habitzreiter e Relator da COF Evandro Mohr;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adentro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João boll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37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5633/21,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inseminação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artiﬁcial de bovinos leiteiros no Município de Três Passos.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Prefeito, Número de Protocolo: 52,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 xml:space="preserve">Jair Locatelli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João Boll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Subemenda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 de 2021, o qual autoriza o Poder Executivo a conceder o uso de imóvel para 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e distribuída às Comissões Permanentes – Relator da CCR Flavio Habitzreiter e Relator da COF Evandro Mohr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Cheﬁa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 que as pessoas que aguardam por atendimento sejam autorizadas a aguardar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dentro do prédio da autarquia. Tal pedido se justiﬁca em razão de que hoje as pessoas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aguardam atendimento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sua maioria idosos ou com problemas e saúde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precisam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aguardar em pé na frente do INSS, expostas ao clima, sendo que a agência possui espaço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abrigá-las,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garantir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  humanizado.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Paulo Sattler,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Nelita Real,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(atestado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médico),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art. 19, §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do Regimento Interno desta Câmara. Autor: Gilmar Maier,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2022</w:t>
      </w:r>
      <w:r>
        <w:rPr>
          <w:rFonts w:ascii="Arial" w:hAnsi="Arial"/>
          <w:w w:val="115"/>
          <w:sz w:val="24"/>
          <w:szCs w:val="24"/>
        </w:rPr>
        <w:t>, Sugere a instalação de uma placa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identiﬁcando o nome da Praça Edmundo Hoppe, com base no Decreto Legislativo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45,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1992. Autores: João Boll, Evandro Mohr, Ingomar Sandtner, Jair Locatelli, Liane Konrad,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53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o fechamento da vala aberta pela CORSAN em frente à propriedade localizada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Fernando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Wassen,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306,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consegue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garagem,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demonstram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fotograﬁas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Luis da Silva, Nelita Real,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nivelamento/preenchimento do asfalto no entroncamento das ruas Turvo com Andrade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Neves,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Eletrônica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Gervásio,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desnível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 causado estrado nos veículos, conforme fotograﬁas em anexo. Alternativamente, caso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 seja possível o nivelamento, que seja melhor sinalizada a via. Autores: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Nelita Real,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Independência,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Vergueiro e Rua Diogo Antônio Feijó, no bairro Santa Inês, conforme abaixo assinado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chove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 ﬁca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alagado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invade  as  residências,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 fotograﬁas em anexo. Autores: Luis da Silva,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Nelita Real, Paulo Sattler,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tubulação  nas  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Fausto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Artur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Beltrame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Ulysses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Guimarães,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roçada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  Barão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Cotegipe, localizadas no Loteamento Jardim do Vale, Bairro Pindorama. Autores: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Edivan Baron, Flavio Habitzreiter, Gilmar Maier, Nelita Real,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lida;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2022</w:t>
      </w:r>
      <w:r>
        <w:rPr>
          <w:rFonts w:ascii="Arial" w:hAnsi="Arial"/>
          <w:w w:val="115"/>
          <w:sz w:val="24"/>
          <w:szCs w:val="24"/>
        </w:rPr>
        <w:t>, Cria o Fundo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do Serviço de Inspeção Municipal (FUNSIM) do município de Três Passos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providências. Autor: Arlei Luis Tomazoni - Prefeito, Número de Protocolo: 36,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Tipo: Votação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27,  de  2022,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inclusão de elementos de despesas e alterações na Lei 5.691/2021(LOA) 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2022. Autor: COF - Comissão de Orçam, Finanças e Infraestrutura Urbana e Rural,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Tipo: Votação Simbólica</w:t>
      </w:r>
      <w:r>
        <w:rPr>
          <w:rFonts w:ascii="Arial" w:hAnsi="Arial"/>
          <w:w w:val="115"/>
          <w:sz w:val="24"/>
          <w:szCs w:val="24"/>
        </w:rPr>
        <w:t>, Sim: 10, Não: 0, Abstenções: 0, Resultado: 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unanimidade;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27 de 2022</w:t>
      </w:r>
      <w:r>
        <w:rPr>
          <w:rFonts w:ascii="Arial" w:hAnsi="Arial"/>
          <w:w w:val="115"/>
          <w:sz w:val="24"/>
          <w:szCs w:val="24"/>
        </w:rPr>
        <w:t>, Autoriza inclusão de elementos de despesas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 na Lei 5.691/2021(LOA) exercício 2022.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Número</w:t>
      </w:r>
      <w:r>
        <w:rPr>
          <w:rFonts w:ascii="Arial" w:hAnsi="Arial"/>
          <w:spacing w:val="4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Protocolo:</w:t>
      </w:r>
      <w:r>
        <w:rPr>
          <w:rFonts w:ascii="Arial" w:hAnsi="Arial"/>
          <w:spacing w:val="4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37,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  <w:u w:val="none"/>
        </w:rPr>
        <w:t>Tipo: Votação Simbólica</w:t>
      </w:r>
      <w:r>
        <w:rPr>
          <w:rFonts w:ascii="Arial" w:hAnsi="Arial"/>
          <w:w w:val="115"/>
          <w:sz w:val="24"/>
          <w:szCs w:val="24"/>
          <w:u w:val="none"/>
        </w:rPr>
        <w:t>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Sim:</w:t>
      </w:r>
      <w:r>
        <w:rPr>
          <w:rFonts w:ascii="Arial" w:hAnsi="Arial"/>
          <w:spacing w:val="4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10,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Não:</w:t>
      </w:r>
      <w:r>
        <w:rPr>
          <w:rFonts w:ascii="Arial" w:hAnsi="Arial"/>
          <w:spacing w:val="4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0,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Abstenções:</w:t>
      </w:r>
      <w:r>
        <w:rPr>
          <w:rFonts w:ascii="Arial" w:hAnsi="Arial"/>
          <w:spacing w:val="4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0,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Resulta</w:t>
      </w:r>
      <w:r>
        <w:rPr>
          <w:rFonts w:ascii="Arial" w:hAnsi="Arial"/>
          <w:w w:val="115"/>
          <w:sz w:val="24"/>
          <w:szCs w:val="24"/>
        </w:rPr>
        <w:t>do: Aprovado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drones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ﬁscalização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41,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Tipo: Votação Simbólica</w:t>
      </w:r>
      <w:r>
        <w:rPr>
          <w:rFonts w:ascii="Arial" w:hAnsi="Arial"/>
          <w:w w:val="115"/>
          <w:sz w:val="24"/>
          <w:szCs w:val="24"/>
        </w:rPr>
        <w:t>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  de  2022</w:t>
      </w:r>
      <w:r>
        <w:rPr>
          <w:rFonts w:ascii="Arial" w:hAnsi="Arial"/>
          <w:w w:val="115"/>
          <w:sz w:val="24"/>
          <w:szCs w:val="24"/>
        </w:rPr>
        <w:t>, Autoriza o Poder Executivo Municipal a ceder servidor público para a 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42,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Tipo: Votação Simbólica</w:t>
      </w:r>
      <w:r>
        <w:rPr>
          <w:rFonts w:ascii="Arial" w:hAnsi="Arial"/>
          <w:w w:val="115"/>
          <w:sz w:val="24"/>
          <w:szCs w:val="24"/>
        </w:rPr>
        <w:t>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de 2022</w:t>
      </w:r>
      <w:r>
        <w:rPr>
          <w:rFonts w:ascii="Arial" w:hAnsi="Arial"/>
          <w:w w:val="115"/>
          <w:sz w:val="24"/>
          <w:szCs w:val="24"/>
        </w:rPr>
        <w:t>, REQUERER seja 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à Cheﬁa do INSS de Três Passos, solicitando que as pessoas que aguardam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 sejam autorizadas a aguardar dentro do prédio da autarquia. Tal pedido 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justiﬁca em razão de que hoje as pessoas que aguardam atendimento </w:t>
      </w:r>
      <w:r>
        <w:rPr>
          <w:rFonts w:ascii="Arial" w:hAnsi="Arial"/>
          <w:w w:val="105"/>
          <w:sz w:val="24"/>
          <w:szCs w:val="24"/>
        </w:rPr>
        <w:t xml:space="preserve">–  </w:t>
      </w:r>
      <w:r>
        <w:rPr>
          <w:rFonts w:ascii="Arial" w:hAnsi="Arial"/>
          <w:w w:val="115"/>
          <w:sz w:val="24"/>
          <w:szCs w:val="24"/>
        </w:rPr>
        <w:t>a sua 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idosos ou com problemas e saúde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precisam aguardar em pé na frente do INSS, expostas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clima,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abrigá-las,  o  que  poderia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garantir um atendimento mais humanizado. Autores: Paulo Sattler,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Luis da Silva, Nelita Real,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Tipo: Votação Simbólica</w:t>
      </w:r>
      <w:r>
        <w:rPr>
          <w:rFonts w:ascii="Arial" w:hAnsi="Arial"/>
          <w:w w:val="115"/>
          <w:sz w:val="24"/>
          <w:szCs w:val="24"/>
        </w:rPr>
        <w:t>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Estabelece reajuste salarial aos servidores municipais ativos, 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 contratados emergencialmente, cargos em comissão, aposentados com direito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pensionistas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estagiários,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do IPSTP, Agentes Comunitários de Saúde, Agentes de Endemias e 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 Municipal. Autor: Arlei Luis Tomazoni - Prefeito, Número de Protocolo: 48,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 w:before="1" w:after="0"/>
        <w:ind w:left="119" w:right="11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8663" w:leader="none"/>
        </w:tabs>
        <w:ind w:left="119" w:right="112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Nelita Real;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Evandro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Mohr;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Jair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Locatelli;  5 - Luis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da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Ingomar </w:t>
      </w:r>
      <w:r>
        <w:rPr>
          <w:rFonts w:ascii="Arial" w:hAnsi="Arial"/>
          <w:b w:val="false"/>
          <w:bCs w:val="false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Liane Konrad;  9 -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Maier; 10 -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Sattler.</w:t>
      </w:r>
    </w:p>
    <w:p>
      <w:pPr>
        <w:pStyle w:val="Corpodotexto"/>
        <w:tabs>
          <w:tab w:val="clear" w:pos="720"/>
          <w:tab w:val="left" w:pos="8663" w:leader="none"/>
        </w:tabs>
        <w:ind w:left="119" w:right="112" w:hanging="0"/>
        <w:rPr>
          <w:rFonts w:ascii="Arial" w:hAnsi="Arial"/>
          <w:b w:val="false"/>
          <w:b w:val="false"/>
          <w:bCs w:val="false"/>
          <w:w w:val="105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8663" w:leader="none"/>
        </w:tabs>
        <w:ind w:left="119" w:right="112" w:hanging="0"/>
        <w:rPr>
          <w:rFonts w:ascii="Arial" w:hAnsi="Arial"/>
          <w:b w:val="false"/>
          <w:b w:val="false"/>
          <w:bCs w:val="false"/>
          <w:w w:val="105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8663" w:leader="none"/>
        </w:tabs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    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 Nelsi Baron                                                 Paulo Gilceu Sattler</w:t>
      </w:r>
    </w:p>
    <w:p>
      <w:pPr>
        <w:pStyle w:val="Corpodotexto"/>
        <w:tabs>
          <w:tab w:val="clear" w:pos="720"/>
          <w:tab w:val="left" w:pos="8663" w:leader="none"/>
        </w:tabs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        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Presidente                                                                Secretário</w:t>
      </w:r>
    </w:p>
    <w:p>
      <w:pPr>
        <w:pStyle w:val="Corpodotexto"/>
        <w:spacing w:lineRule="auto" w:line="240" w:before="1" w:after="0"/>
        <w:ind w:left="119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18/04/2022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18/04/2022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18/04/2022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18/04/2022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01.95pt;margin-top:790.2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4</Pages>
  <Words>1600</Words>
  <Characters>8706</Characters>
  <CharactersWithSpaces>10470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2022-04-18T14:13:46Z</dcterms:created>
  <dc:creator/>
  <dc:description/>
  <dc:language>pt-BR</dc:language>
  <cp:lastModifiedBy/>
  <cp:lastPrinted>2022-04-18T16:18:54Z</cp:lastPrinted>
  <dcterms:modified xsi:type="dcterms:W3CDTF">2022-04-18T16:18:21Z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2022-04-18T00:00:00Z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2022-04-18T00:00:00Z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