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12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 </w:t>
      </w:r>
      <w:r>
        <w:rPr>
          <w:rFonts w:ascii="Arial" w:hAnsi="Arial"/>
          <w:w w:val="115"/>
          <w:sz w:val="24"/>
          <w:szCs w:val="24"/>
        </w:rPr>
        <w:t>Descentralizada, realizada no Salão Evangélico da localidade de Esquina Santo Antônio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24</w:t>
      </w:r>
      <w:r>
        <w:rPr>
          <w:rFonts w:ascii="Arial" w:hAnsi="Arial"/>
          <w:w w:val="115"/>
          <w:sz w:val="24"/>
          <w:szCs w:val="24"/>
        </w:rPr>
        <w:t>/04/2023,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24/04/2023,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22h30min.</w:t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  <w:spacing w:val="6"/>
          <w:w w:val="115"/>
        </w:rPr>
      </w:pPr>
      <w:r>
        <w:rPr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 João Boll/PP; 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Silva/PTB; Nader Ali Umar/PSDB;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tabs>
          <w:tab w:val="clear" w:pos="720"/>
          <w:tab w:val="left" w:pos="1283" w:leader="none"/>
          <w:tab w:val="left" w:pos="1706" w:leader="none"/>
          <w:tab w:val="left" w:pos="4545" w:leader="none"/>
          <w:tab w:val="left" w:pos="5019" w:leader="none"/>
          <w:tab w:val="left" w:pos="6580" w:leader="none"/>
          <w:tab w:val="left" w:pos="7066" w:leader="none"/>
          <w:tab w:val="left" w:pos="9023" w:leader="none"/>
        </w:tabs>
        <w:suppressAutoHyphens w:val="true"/>
        <w:bidi w:val="0"/>
        <w:spacing w:lineRule="auto" w:line="240" w:before="1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Sessão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Ata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da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plenária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17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abril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aprovada.</w:t>
      </w:r>
      <w:r>
        <w:rPr>
          <w:rFonts w:ascii="Arial" w:hAnsi="Arial"/>
          <w:b w:val="false"/>
          <w:bCs w:val="false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IPSTP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49/2023,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Diretoria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Instituto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Previdência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Servidor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Público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Passos,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informando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solicitou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atualização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valor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aportes,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conforme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novo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cálculo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atuarial,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base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2022,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através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encaminhamento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Casa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Legislativa.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SMEC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43/2023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45/2023,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Secretário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Educação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Cultura,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Senhor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Osvaldor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José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Urnau,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7/23,</w:t>
      </w:r>
      <w:r>
        <w:rPr>
          <w:rFonts w:ascii="Arial" w:hAnsi="Arial"/>
          <w:b w:val="false"/>
          <w:bCs w:val="false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relativo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link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site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relativo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Conselho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Educação;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12/23,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relativa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concessão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auxílio-transporte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estudantes;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39/23,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relativa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normatização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pagamento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gratiﬁcação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professores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inclusão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aluno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especial.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13/23,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Presidente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Agrofeira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porco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leite,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Senhor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Adelino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Longui,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Diretora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Escola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Wally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Elisa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Hartmann,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professora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Carla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Berwanger,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contendo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convite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agrofeira,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12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edição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acontecerá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2023,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salão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comunitário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Alto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Erval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Novo,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quando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também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ocorrerá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inauguração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quadra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poliesportiva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escola.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Autógrafos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45/23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49/23,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Chefe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redação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34/23,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36/23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38/23,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legislativa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6/23.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185/23,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Indicações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56/23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58/23.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186/23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189/23,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23/23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27/23.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190/23,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22/23.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191/23,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Presidente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Associação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Hospital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Caridade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encaminhado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via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e-mail,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Requerimento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15/23,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acerca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informações da Clínica Carrossel.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195/23, ao Prefeito Municipal, encaminhando 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5/23. 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</w:p>
    <w:p>
      <w:pPr>
        <w:pStyle w:val="Corpodotexto"/>
        <w:widowControl w:val="false"/>
        <w:suppressAutoHyphens w:val="true"/>
        <w:bidi w:val="0"/>
        <w:spacing w:lineRule="auto" w:line="240" w:before="166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 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43 de 2023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facilitador de artes marciais.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63,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as Comissões Permanentes – Relator da CCR </w:t>
      </w:r>
      <w:r>
        <w:rPr>
          <w:rFonts w:ascii="Arial" w:hAnsi="Arial"/>
          <w:w w:val="115"/>
          <w:sz w:val="24"/>
          <w:szCs w:val="24"/>
        </w:rPr>
        <w:t>Gilmar Maier e</w:t>
      </w:r>
      <w:r>
        <w:rPr>
          <w:rFonts w:ascii="Arial" w:hAnsi="Arial"/>
          <w:w w:val="115"/>
          <w:sz w:val="24"/>
          <w:szCs w:val="24"/>
        </w:rPr>
        <w:t xml:space="preserve">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2023</w:t>
      </w:r>
      <w:r>
        <w:rPr>
          <w:rFonts w:ascii="Arial" w:hAnsi="Arial"/>
          <w:w w:val="115"/>
          <w:sz w:val="24"/>
          <w:szCs w:val="24"/>
        </w:rPr>
        <w:t>, Emenda modiﬁcativa ao projeto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35,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quarenta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serventes.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Luis da Silva, Tipo: Leitura, Resultado: Matéria lida e distribuída as Comissões Permanentes – Relator da CCR Flavio Habitzreiter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Relator da COF – João Boll;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59 de 2023</w:t>
      </w:r>
      <w:r>
        <w:rPr>
          <w:rFonts w:ascii="Arial" w:hAnsi="Arial"/>
          <w:w w:val="115"/>
          <w:sz w:val="24"/>
          <w:szCs w:val="24"/>
        </w:rPr>
        <w:t>, Sugere a realização de operação tapa-buracos e instalação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reperﬁlamento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Miraguaí.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60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o estudo e viabilidade para realizar calçamento nas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principais estradas do interior do município de Três Passos. Autores: Flavio 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5 - Pedido de Informação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28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informações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referentes à responsabilização de servidor público municipal quanto a mau uso de bem ou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equipamento público, nos últimos dez anos. Autores: Nader Umar, Daiana Bald, Ingomar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Sandtner, Jair Locatelli, João Boll, Tipo: 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6 - Pedido 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23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  encascalhamento,  patrolamento  e  passagem 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rolo compactador, na estrada de Cachimbo Perdido. Autores: Paulo Sattler, Diego 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 Baron, Flavio Habitzreiter, Gilmar Maier, Luis da Silva, Tipo: Leitura, 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.</w:t>
      </w:r>
    </w:p>
    <w:p>
      <w:pPr>
        <w:pStyle w:val="Corpodotexto"/>
        <w:widowControl w:val="false"/>
        <w:suppressAutoHyphens w:val="true"/>
        <w:bidi w:val="0"/>
        <w:spacing w:lineRule="auto" w:line="240" w:before="166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b/>
          <w:bCs w:val="false"/>
          <w:spacing w:val="7"/>
          <w:w w:val="115"/>
          <w:sz w:val="24"/>
          <w:szCs w:val="24"/>
        </w:rPr>
        <w:t xml:space="preserve">Pronunciamento </w:t>
      </w:r>
      <w:r>
        <w:rPr>
          <w:rFonts w:ascii="Arial" w:hAnsi="Arial"/>
          <w:b/>
          <w:bCs w:val="false"/>
          <w:spacing w:val="7"/>
          <w:w w:val="115"/>
          <w:sz w:val="24"/>
          <w:szCs w:val="24"/>
        </w:rPr>
        <w:t>de r</w:t>
      </w:r>
      <w:r>
        <w:rPr>
          <w:rFonts w:ascii="Arial" w:hAnsi="Arial"/>
          <w:b/>
          <w:bCs w:val="false"/>
          <w:spacing w:val="7"/>
          <w:w w:val="115"/>
          <w:sz w:val="24"/>
          <w:szCs w:val="24"/>
        </w:rPr>
        <w:t>epresentantes 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>e</w:t>
      </w:r>
      <w:r>
        <w:rPr>
          <w:rFonts w:ascii="Arial" w:hAnsi="Arial"/>
          <w:b/>
          <w:bCs w:val="false"/>
          <w:spacing w:val="7"/>
          <w:w w:val="115"/>
          <w:sz w:val="24"/>
          <w:szCs w:val="24"/>
        </w:rPr>
        <w:t>ntidade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representantes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comunidade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do  Distrito</w:t>
      </w:r>
      <w:r>
        <w:rPr>
          <w:rFonts w:ascii="Arial" w:hAnsi="Arial"/>
          <w:b w:val="false"/>
          <w:bCs w:val="false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Santo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Antônio,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Senhores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Édio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Berghahn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Carlos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Renz,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Presidentes,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respectivamente,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Salão</w:t>
      </w:r>
      <w:r>
        <w:rPr>
          <w:rFonts w:ascii="Arial" w:hAnsi="Arial"/>
          <w:b w:val="false"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Evangélico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Associação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Familiar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Rural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Novo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Horizonte,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Senhores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Onorio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Lemos,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Marcio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Odair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Schrameier,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Leomar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Sossmeier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Imelda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Berghahn,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moradores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distrito,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falaram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as reivindicações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potencialidades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localidade.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b/>
          <w:b/>
          <w:w w:val="115"/>
        </w:rPr>
      </w:pPr>
      <w:r>
        <w:rPr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Proposta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à  Lei  Orgânica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Orgânica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 individuais ao projeto de lei orçamentária, previstas na Emenda Constitucional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Paulo Sattler, Número de Protocolo: 57, Turno: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Primeiro,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 xml:space="preserve">Daiana Vanessa Bald - 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im; Diego Hider Maciel - 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Nelsi Baron - 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im; Flavio Habitzreiter - 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im; Gilmar Maier - 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im;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4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4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Roque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3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4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im;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Umar - 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im; Paulo Gilceu Sattler – 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im.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39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proceder na alienação onerosa dos bens móveis inservíveis,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obsoletos ou antieconômicos.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56,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40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5.881, de 04 de abril de 2023.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58,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41 de 2023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proceder na contratação emergencial de até 06 (seis) auxiliares de farmácia.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59,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cumprimento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estágio  probatório  de  que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EC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1998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dá outras providências.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60, 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discutida previamente.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 xml:space="preserve">                 </w:t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014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33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Application>LibreOffice/7.4.2.3$Windows_X86_64 LibreOffice_project/382eef1f22670f7f4118c8c2dd222ec7ad009daf</Application>
  <AppVersion>15.0000</AppVersion>
  <Pages>3</Pages>
  <Words>1130</Words>
  <Characters>6319</Characters>
  <CharactersWithSpaces>7499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2023-04-28T15:18:29Z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