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113" w:right="0" w:hanging="0"/>
        <w:jc w:val="center"/>
        <w:rPr>
          <w:rFonts w:ascii="Arial" w:hAnsi="Arial"/>
          <w:b/>
          <w:b/>
          <w:bCs/>
          <w:sz w:val="24"/>
          <w:szCs w:val="24"/>
        </w:rPr>
      </w:pPr>
      <w:bookmarkStart w:id="0" w:name="Ata_Eletrônica_da_4ª_Ordinária_da_4ª_Ses"/>
      <w:bookmarkEnd w:id="0"/>
      <w:r>
        <w:rPr>
          <w:rFonts w:ascii="Arial" w:hAnsi="Arial"/>
          <w:b/>
          <w:bCs/>
          <w:w w:val="115"/>
          <w:sz w:val="24"/>
          <w:szCs w:val="24"/>
        </w:rPr>
        <w:t>Ata Eletrôni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c</w:t>
      </w:r>
      <w:r>
        <w:rPr>
          <w:rFonts w:ascii="Arial" w:hAnsi="Arial"/>
          <w:b/>
          <w:bCs/>
          <w:w w:val="115"/>
          <w:sz w:val="24"/>
          <w:szCs w:val="24"/>
        </w:rPr>
        <w:t>a da 6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Or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d</w:t>
      </w:r>
      <w:r>
        <w:rPr>
          <w:rFonts w:ascii="Arial" w:hAnsi="Arial"/>
          <w:b/>
          <w:bCs/>
          <w:w w:val="115"/>
          <w:sz w:val="24"/>
          <w:szCs w:val="24"/>
        </w:rPr>
        <w:t>in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á</w:t>
      </w:r>
      <w:r>
        <w:rPr>
          <w:rFonts w:ascii="Arial" w:hAnsi="Arial"/>
          <w:b/>
          <w:bCs/>
          <w:w w:val="115"/>
          <w:sz w:val="24"/>
          <w:szCs w:val="24"/>
        </w:rPr>
        <w:t>ria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 xml:space="preserve">da 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4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Sessã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o</w:t>
      </w:r>
      <w:r>
        <w:rPr>
          <w:rFonts w:ascii="Arial" w:hAnsi="Arial"/>
          <w:b/>
          <w:bCs/>
          <w:w w:val="115"/>
          <w:sz w:val="24"/>
          <w:szCs w:val="24"/>
        </w:rPr>
        <w:t xml:space="preserve"> Legislativa da 18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Legislatura</w:t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28" w:before="208" w:after="0"/>
        <w:ind w:left="119" w:right="12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 xml:space="preserve">Identiﬁcação Básica: </w:t>
      </w:r>
      <w:r>
        <w:rPr>
          <w:rFonts w:ascii="Arial" w:hAnsi="Arial"/>
          <w:w w:val="115"/>
          <w:sz w:val="24"/>
          <w:szCs w:val="24"/>
        </w:rPr>
        <w:t>Tipo de Sessão Ordinária; Abertura 11/3/2024 - 19h; Encerramento 11/3/2024 – 22h.</w:t>
      </w:r>
    </w:p>
    <w:p>
      <w:pPr>
        <w:pStyle w:val="Corpodotexto"/>
        <w:spacing w:lineRule="auto" w:line="240" w:before="201" w:after="0"/>
        <w:ind w:left="119" w:right="12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 Flavio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Vice-Presidente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Edivan Nelsi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 Primeiro Secretário Gilmar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PT.</w:t>
      </w:r>
    </w:p>
    <w:p>
      <w:pPr>
        <w:pStyle w:val="Corpodotexto"/>
        <w:spacing w:lineRule="auto" w:line="240" w:before="197" w:after="0"/>
        <w:ind w:left="119" w:right="11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Presença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na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Sessão: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Daiana Vanessa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Bald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MDB; Diego Hider Maciel/PT;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Edivan Nelsi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Baron/PTB;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Flavio 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Gilmar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Ingomar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Sandtner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 Jair Locatelli/PSDB;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João Roque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Boll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PP;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Luis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da Silva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</w:t>
      </w:r>
      <w:r>
        <w:rPr>
          <w:rFonts w:ascii="Arial" w:hAnsi="Arial"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Nader Ali</w:t>
      </w:r>
      <w:r>
        <w:rPr>
          <w:rFonts w:ascii="Arial" w:hAnsi="Arial"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Umar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</w:t>
      </w:r>
      <w:r>
        <w:rPr>
          <w:rFonts w:ascii="Arial" w:hAnsi="Arial"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Paulo Gilceu</w:t>
      </w:r>
      <w:r>
        <w:rPr>
          <w:rFonts w:ascii="Arial" w:hAnsi="Arial"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PDT.</w:t>
      </w:r>
    </w:p>
    <w:p>
      <w:pPr>
        <w:pStyle w:val="Corpodotexto"/>
        <w:spacing w:lineRule="auto" w:line="240" w:before="197" w:after="0"/>
        <w:ind w:left="119" w:right="11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 w:val="false"/>
          <w:w w:val="115"/>
          <w:sz w:val="24"/>
          <w:szCs w:val="24"/>
        </w:rPr>
        <w:t>Expedientes: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Apreciação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da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Ata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 xml:space="preserve">da 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 xml:space="preserve">Sessão 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anterior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 Ata  da  5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ª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 sessão  plenária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ordinária realizada em 4/3/2024 - aprovada. Ata da 3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ª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sessão plenária extraordinária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realizada em 8/3/2024, às 18h - aprovada. </w:t>
      </w:r>
      <w:r>
        <w:rPr>
          <w:rFonts w:ascii="Arial" w:hAnsi="Arial"/>
          <w:b/>
          <w:bCs w:val="false"/>
          <w:w w:val="115"/>
          <w:sz w:val="24"/>
          <w:szCs w:val="24"/>
        </w:rPr>
        <w:t>Correspondências Recebidas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Ofício Citegem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2/2024,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enviado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pelo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Coordenador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Geral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Gilberto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Knorst,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em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resposta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ao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Requerimento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20"/>
          <w:sz w:val="24"/>
          <w:szCs w:val="24"/>
        </w:rPr>
        <w:t xml:space="preserve">1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 2024, sobre informações dos repasses mensais, despesas dos últimos doze meses,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materiais recebidos e vendidos e como é realizada a sua venda. Ofícios GAB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 37/2024 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38/2024, do Prefeito Municipal, encaminhando resposta aos Pedidos de Informação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1/24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4/24,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referentes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à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licitação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para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eventual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futura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aquisição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serviços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arbitragem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para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jogos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compeonatos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promovidos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pelo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CMD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pela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SMEC,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diagnóstico socioambiental que está sendo realizado pela Secretaria Municipal de Meio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Ambiente. Ofício GAB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39/2024, do Prefeito Municipal, contendo resposta à solicitação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 informações das Comissões Permanentes quanto ao projeto de lei ordinária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3 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2024, que trata da contratação emergencial de um professor de educação física - bacharel.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Correspondências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Expedidas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Autógrafos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6/24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8/24,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Prefeito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Municipal,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encaminhando a redação ﬁnal dos projetos de lei ordinária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 182/23 e 3/24, e do projeto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lei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legislativa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3/24.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Ofício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40/24,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Prefeito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Municipal,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encaminhando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Indicações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 15/24 e 16/24. Ofício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41/24, ao Prefeito Municipal, encaminhando 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Pedido de Providências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13/24. Ofício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42/24, ao Prefeito Municipal, encaminhando 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Pedido de Informação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15/24. </w:t>
      </w:r>
    </w:p>
    <w:p>
      <w:pPr>
        <w:pStyle w:val="Corpodotexto"/>
        <w:spacing w:lineRule="auto" w:line="240" w:before="1" w:after="0"/>
        <w:ind w:left="119" w:right="116" w:hanging="0"/>
        <w:jc w:val="both"/>
        <w:rPr>
          <w:rFonts w:ascii="Arial" w:hAnsi="Arial"/>
          <w:b w:val="false"/>
          <w:b w:val="false"/>
          <w:bCs w:val="false"/>
          <w:w w:val="115"/>
          <w:sz w:val="24"/>
          <w:szCs w:val="24"/>
        </w:rPr>
      </w:pPr>
      <w:r>
        <w:rPr>
          <w:rFonts w:ascii="Arial" w:hAnsi="Arial"/>
          <w:b w:val="false"/>
          <w:bCs w:val="false"/>
          <w:w w:val="115"/>
          <w:sz w:val="24"/>
          <w:szCs w:val="24"/>
        </w:rPr>
      </w:r>
    </w:p>
    <w:p>
      <w:pPr>
        <w:pStyle w:val="Corpodotexto"/>
        <w:ind w:left="119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9  de  2024</w:t>
      </w:r>
      <w:r>
        <w:rPr>
          <w:rFonts w:ascii="Arial" w:hAnsi="Arial"/>
          <w:w w:val="115"/>
          <w:sz w:val="24"/>
          <w:szCs w:val="24"/>
        </w:rPr>
        <w:t>,  Autoriza 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 de crédito especial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6.011, de 05 de dezembro de 2023, que estima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 e ﬁxa a despesa do Município de Três Passos. Autor: Rodrigo Alencar Bohn Glinke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Vice-Prefeito Municipal, Número de Protocolo: 19, Tipo: Leitura, Resultado: Matéria lida e distribuída à Comissão de Orçamento e Finanças - relator João Boll;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10  de  2024</w:t>
      </w:r>
      <w:r>
        <w:rPr>
          <w:rFonts w:ascii="Arial" w:hAnsi="Arial"/>
          <w:w w:val="115"/>
          <w:sz w:val="24"/>
          <w:szCs w:val="24"/>
        </w:rPr>
        <w:t>, Autoriza a abertura de crédito especial 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6.011,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05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dezembro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 ﬁxa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 despesa 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 de Três Passos para o exercício de 2024. Autor: Rodrigo Alencar Bohn Glinke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Vice-Prefeito Municipal, Número de Protocolo: 20, Tipo: Leitura, Resultado: Matéria lida e distribuída à Comissão de Orçamento e Finanças - relatora Daiana Bald;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 Autoriza o Poder Executivo Municipal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Geólogo.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Rodrigo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Alencar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Bohn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Glinke -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Vice-Prefeito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21,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 e distribuída as Comissões Permanentes, relator da CCR - Diego Maciel, relator da COF – João Boll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;</w:t>
      </w:r>
      <w:r>
        <w:rPr>
          <w:rFonts w:ascii="Arial" w:hAnsi="Arial"/>
          <w:b w:val="false"/>
          <w:bCs w:val="false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4</w:t>
      </w:r>
      <w:r>
        <w:rPr>
          <w:rFonts w:ascii="Arial" w:hAnsi="Arial"/>
          <w:b/>
          <w:bCs w:val="false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-</w:t>
      </w:r>
      <w:r>
        <w:rPr>
          <w:rFonts w:ascii="Arial" w:hAnsi="Arial"/>
          <w:b/>
          <w:bCs w:val="false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Projeto</w:t>
      </w:r>
      <w:r>
        <w:rPr>
          <w:rFonts w:ascii="Arial" w:hAnsi="Arial"/>
          <w:b/>
          <w:bCs w:val="false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Lei</w:t>
      </w:r>
      <w:r>
        <w:rPr>
          <w:rFonts w:ascii="Arial" w:hAnsi="Arial"/>
          <w:b/>
          <w:bCs w:val="false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Legislativa</w:t>
      </w:r>
      <w:r>
        <w:rPr>
          <w:rFonts w:ascii="Arial" w:hAnsi="Arial"/>
          <w:b/>
          <w:bCs w:val="false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n</w:t>
      </w:r>
      <w:r>
        <w:rPr>
          <w:rFonts w:ascii="Arial" w:hAnsi="Arial"/>
          <w:b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4</w:t>
      </w:r>
      <w:r>
        <w:rPr>
          <w:rFonts w:ascii="Arial" w:hAnsi="Arial"/>
          <w:b/>
          <w:bCs w:val="false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2024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,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Dispõe</w:t>
      </w:r>
      <w:r>
        <w:rPr>
          <w:rFonts w:ascii="Arial" w:hAnsi="Arial"/>
          <w:b w:val="false"/>
          <w:bCs w:val="false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sobre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ﬁxação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subsídio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mensal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dos Vereadores da Câmara Municipal de Três Passos para o período de 1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de janeiro 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2025 a 31 de dezembro de 2028. Autor: Vereadores Flavio Habitzreiter, Edivan N. Baron 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Gilmar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Maier,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Número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Protocolo: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22,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Tipo: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Leitura,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Resultado: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Matéria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lida e distribuída as Comissões Permanentes, relator da CCR - Nader Umar, relator da COF –  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>João Boll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; </w:t>
      </w:r>
      <w:r>
        <w:rPr>
          <w:rFonts w:ascii="Arial" w:hAnsi="Arial"/>
          <w:b/>
          <w:bCs w:val="false"/>
          <w:w w:val="115"/>
          <w:sz w:val="24"/>
          <w:szCs w:val="24"/>
        </w:rPr>
        <w:t>5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-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Requerimento n</w:t>
      </w:r>
      <w:r>
        <w:rPr>
          <w:rFonts w:ascii="Arial" w:hAnsi="Arial"/>
          <w:b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w w:val="115"/>
          <w:sz w:val="24"/>
          <w:szCs w:val="24"/>
        </w:rPr>
        <w:t xml:space="preserve"> 8 de 2024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, Requer o encaminhamento de ofício ao Sr. Gilberto Knorst,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Coordenador Geral do Consórcio Intermunicipal de Gestão Multifuncional - CITEGEM,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solicitando,</w:t>
      </w:r>
      <w:r>
        <w:rPr>
          <w:rFonts w:ascii="Arial" w:hAnsi="Arial"/>
          <w:b w:val="false"/>
          <w:bCs w:val="false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em</w:t>
      </w:r>
      <w:r>
        <w:rPr>
          <w:rFonts w:ascii="Arial" w:hAnsi="Arial"/>
          <w:b w:val="false"/>
          <w:bCs w:val="false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complementação</w:t>
      </w:r>
      <w:r>
        <w:rPr>
          <w:rFonts w:ascii="Arial" w:hAnsi="Arial"/>
          <w:b w:val="false"/>
          <w:bCs w:val="false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à</w:t>
      </w:r>
      <w:r>
        <w:rPr>
          <w:rFonts w:ascii="Arial" w:hAnsi="Arial"/>
          <w:b w:val="false"/>
          <w:bCs w:val="false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resposta</w:t>
      </w:r>
      <w:r>
        <w:rPr>
          <w:rFonts w:ascii="Arial" w:hAnsi="Arial"/>
          <w:b w:val="false"/>
          <w:bCs w:val="false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ao</w:t>
      </w:r>
      <w:r>
        <w:rPr>
          <w:rFonts w:ascii="Arial" w:hAnsi="Arial"/>
          <w:b w:val="false"/>
          <w:bCs w:val="false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Requerimento</w:t>
      </w:r>
      <w:r>
        <w:rPr>
          <w:rFonts w:ascii="Arial" w:hAnsi="Arial"/>
          <w:b w:val="false"/>
          <w:bCs w:val="false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20"/>
          <w:sz w:val="24"/>
          <w:szCs w:val="24"/>
        </w:rPr>
        <w:t>1</w:t>
      </w:r>
      <w:r>
        <w:rPr>
          <w:rFonts w:ascii="Arial" w:hAnsi="Arial"/>
          <w:b w:val="false"/>
          <w:bCs w:val="false"/>
          <w:spacing w:val="21"/>
          <w:w w:val="12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2024,</w:t>
      </w:r>
      <w:r>
        <w:rPr>
          <w:rFonts w:ascii="Arial" w:hAnsi="Arial"/>
          <w:b w:val="false"/>
          <w:bCs w:val="false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as</w:t>
      </w:r>
      <w:r>
        <w:rPr>
          <w:rFonts w:ascii="Arial" w:hAnsi="Arial"/>
          <w:b w:val="false"/>
          <w:bCs w:val="false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seguintes informações: quantidade, em quilos, que foi vendida de cada material, nos últimos seis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meses, bem como as respectivas notas ﬁscais. Autores: Flavio Habitzreiter, Diego Maciel,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Edivan Baron, Gilmar Maier, Luis da Silva, Paulo Sattler, Tipo: Leitura, Resultado: Matéria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lida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; </w:t>
      </w:r>
      <w:r>
        <w:rPr>
          <w:rFonts w:ascii="Arial" w:hAnsi="Arial"/>
          <w:b/>
          <w:bCs w:val="false"/>
          <w:w w:val="115"/>
          <w:sz w:val="24"/>
          <w:szCs w:val="24"/>
        </w:rPr>
        <w:t>6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-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Requerimento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n</w:t>
      </w:r>
      <w:r>
        <w:rPr>
          <w:rFonts w:ascii="Arial" w:hAnsi="Arial"/>
          <w:b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9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2024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Requer  o  envio  de  ofício  à  Comissão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Organizadora da 17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ª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FEICAP, solicitando que a Feira distribua água potável gratuitamente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aos seu frequentadores, especialmente nas áreas de shows, em atendimento à Portaria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GAB-SENACON/MJSP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35, de 18 de novembro de 2023. Autores: Diego Maciel, Edivan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Baron,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Flavio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Habitzreiter,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Gilmar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Maier,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Luis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Silva,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Paulo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Sattler,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Tipo: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Leitura,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Resultado: Matéria lida; </w:t>
      </w:r>
      <w:r>
        <w:rPr>
          <w:rFonts w:ascii="Arial" w:hAnsi="Arial"/>
          <w:b/>
          <w:bCs w:val="false"/>
          <w:w w:val="115"/>
          <w:sz w:val="24"/>
          <w:szCs w:val="24"/>
        </w:rPr>
        <w:t>7 - Indicação n</w:t>
      </w:r>
      <w:r>
        <w:rPr>
          <w:rFonts w:ascii="Arial" w:hAnsi="Arial"/>
          <w:b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w w:val="115"/>
          <w:sz w:val="24"/>
          <w:szCs w:val="24"/>
        </w:rPr>
        <w:t xml:space="preserve"> 17 de 2024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, Sugere que os postos de saúde do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nosso Município prestem atendimento durante os ﬁnais de semana, especialmente neste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momento devido ao aumento de casos de dengue no município. Autores: Edivan Baron,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Diego Maciel, Flavio Habitzreiter, Gilmar Maier, Luis da Silva, Paulo Sattler, Tipo: Leitura,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Resultado: Matéria lida; </w:t>
      </w:r>
      <w:r>
        <w:rPr>
          <w:rFonts w:ascii="Arial" w:hAnsi="Arial"/>
          <w:b/>
          <w:bCs w:val="false"/>
          <w:w w:val="115"/>
          <w:sz w:val="24"/>
          <w:szCs w:val="24"/>
        </w:rPr>
        <w:t>8 - Indicação n</w:t>
      </w:r>
      <w:r>
        <w:rPr>
          <w:rFonts w:ascii="Arial" w:hAnsi="Arial"/>
          <w:b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w w:val="115"/>
          <w:sz w:val="24"/>
          <w:szCs w:val="24"/>
        </w:rPr>
        <w:t xml:space="preserve"> 18 de 2024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, Sugere o reperﬁlamento da Rua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Andrade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Neves,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trecho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que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inicia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entroncamento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com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Rua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Catulo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Paixão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Cearense,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nas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proximidades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Presídio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Estadual.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Autores: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Flavio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Habitzreiter,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Diego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Maciel, Edivan Baron, Gilmar Maier, Luis da Silva, Paulo Sattler, Tipo: Leitura, Resultado: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Matéria lida; </w:t>
      </w:r>
      <w:r>
        <w:rPr>
          <w:rFonts w:ascii="Arial" w:hAnsi="Arial"/>
          <w:b/>
          <w:bCs w:val="false"/>
          <w:w w:val="115"/>
          <w:sz w:val="24"/>
          <w:szCs w:val="24"/>
        </w:rPr>
        <w:t>9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-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Indicação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n</w:t>
      </w:r>
      <w:r>
        <w:rPr>
          <w:rFonts w:ascii="Arial" w:hAnsi="Arial"/>
          <w:b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19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de  2024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, Sugere a instalação de uma faixa elevada na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Rua Piratini, próximo ao ESF Padre Gonzales e à Creche Vovó Paulina. Autores: Gilmar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Maier, Diego Maciel, Edivan Baron, Flavio Habitzreiter, Luis da Silva, Paulo Sattler, Tipo: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Leitura, Resultado: Matéria lida; </w:t>
      </w:r>
      <w:r>
        <w:rPr>
          <w:rFonts w:ascii="Arial" w:hAnsi="Arial"/>
          <w:b/>
          <w:bCs w:val="false"/>
          <w:w w:val="115"/>
          <w:sz w:val="24"/>
          <w:szCs w:val="24"/>
        </w:rPr>
        <w:t>10 - Indicação n</w:t>
      </w:r>
      <w:r>
        <w:rPr>
          <w:rFonts w:ascii="Arial" w:hAnsi="Arial"/>
          <w:b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w w:val="115"/>
          <w:sz w:val="24"/>
          <w:szCs w:val="24"/>
        </w:rPr>
        <w:t xml:space="preserve"> 20 de 2024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, Sugere a realização 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estudo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viabilidade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para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criação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um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fundo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rotativo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habitacional,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 ﬁm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proporcionar apoio ﬁnanceiro e custear os munícipes que queiram ﬁnanciar sua casa junto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à Caixa Econômica Federal, com base na Lei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5789/23 do Município de Santa Rosa e Lei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4206/23 do Município de Horizontina. Autores: Paulo Sattler, Diego Maciel, Edivan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Baron, Flavio Habitzreiter, Gilmar Maier, Luis da Silva, Tipo: Leitura, Resultado: Matéria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bCs w:val="false"/>
          <w:w w:val="115"/>
          <w:sz w:val="24"/>
          <w:szCs w:val="24"/>
        </w:rPr>
        <w:t>11  -  Pedido  de  Informação  n</w:t>
      </w:r>
      <w:r>
        <w:rPr>
          <w:rFonts w:ascii="Arial" w:hAnsi="Arial"/>
          <w:b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w w:val="115"/>
          <w:sz w:val="24"/>
          <w:szCs w:val="24"/>
        </w:rPr>
        <w:t xml:space="preserve">  16  de  2024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, Solicita informações em relação ao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que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foi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abordado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reunião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realizada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Linha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Cotricampo,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ano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2023,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com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representantes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Executivo,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vereadores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comunidade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local,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dos 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projetos 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em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andamento e qual será o prazo de execução. Autores: Flavio Habitzreiter, Diego Maciel,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Edivan Baron, Gilmar Maier, Luis da Silva, Paulo Sattler, Tipo: Leitura, Resultado: Matéria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bCs w:val="false"/>
          <w:w w:val="115"/>
          <w:sz w:val="24"/>
          <w:szCs w:val="24"/>
        </w:rPr>
        <w:t>12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-  Pedido  de  Informação  n</w:t>
      </w:r>
      <w:r>
        <w:rPr>
          <w:rFonts w:ascii="Arial" w:hAnsi="Arial"/>
          <w:b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w w:val="115"/>
          <w:sz w:val="24"/>
          <w:szCs w:val="24"/>
        </w:rPr>
        <w:t xml:space="preserve">  17  de  2024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, Solicita informações do porquê 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tanta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demora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para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troca/substituição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lâmpadas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iluminação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pública.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Autores: Flavio Habitzreiter, Diego Maciel, Edivan Baron, Gilmar Maier, Luis da Silva,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Paulo</w:t>
      </w:r>
      <w:r>
        <w:rPr>
          <w:rFonts w:ascii="Arial" w:hAnsi="Arial"/>
          <w:b w:val="false"/>
          <w:bCs w:val="false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Sattler,</w:t>
      </w:r>
      <w:r>
        <w:rPr>
          <w:rFonts w:ascii="Arial" w:hAnsi="Arial"/>
          <w:b w:val="false"/>
          <w:bCs w:val="false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Tipo:</w:t>
      </w:r>
      <w:r>
        <w:rPr>
          <w:rFonts w:ascii="Arial" w:hAnsi="Arial"/>
          <w:b w:val="false"/>
          <w:bCs w:val="false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Leitura,</w:t>
      </w:r>
      <w:r>
        <w:rPr>
          <w:rFonts w:ascii="Arial" w:hAnsi="Arial"/>
          <w:b w:val="false"/>
          <w:bCs w:val="false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Resultado:</w:t>
      </w:r>
      <w:r>
        <w:rPr>
          <w:rFonts w:ascii="Arial" w:hAnsi="Arial"/>
          <w:b w:val="false"/>
          <w:bCs w:val="false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Matéria</w:t>
      </w:r>
      <w:r>
        <w:rPr>
          <w:rFonts w:ascii="Arial" w:hAnsi="Arial"/>
          <w:b w:val="false"/>
          <w:bCs w:val="false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lida;</w:t>
      </w:r>
      <w:r>
        <w:rPr>
          <w:rFonts w:ascii="Arial" w:hAnsi="Arial"/>
          <w:b w:val="false"/>
          <w:bCs w:val="false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13</w:t>
      </w:r>
      <w:r>
        <w:rPr>
          <w:rFonts w:ascii="Arial" w:hAnsi="Arial"/>
          <w:b/>
          <w:bCs w:val="false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-</w:t>
      </w:r>
      <w:r>
        <w:rPr>
          <w:rFonts w:ascii="Arial" w:hAnsi="Arial"/>
          <w:b/>
          <w:bCs w:val="false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Pedido</w:t>
      </w:r>
      <w:r>
        <w:rPr>
          <w:rFonts w:ascii="Arial" w:hAnsi="Arial"/>
          <w:b/>
          <w:bCs w:val="false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Providências</w:t>
      </w:r>
      <w:r>
        <w:rPr>
          <w:rFonts w:ascii="Arial" w:hAnsi="Arial"/>
          <w:b/>
          <w:bCs w:val="false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n</w:t>
      </w:r>
      <w:r>
        <w:rPr>
          <w:rFonts w:ascii="Arial" w:hAnsi="Arial"/>
          <w:b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15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2024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,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Solicita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colocação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um</w:t>
      </w:r>
      <w:r>
        <w:rPr>
          <w:rFonts w:ascii="Arial" w:hAnsi="Arial"/>
          <w:b w:val="false"/>
          <w:bCs w:val="false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bueiro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Rua</w:t>
      </w:r>
      <w:r>
        <w:rPr>
          <w:rFonts w:ascii="Arial" w:hAnsi="Arial"/>
          <w:b w:val="false"/>
          <w:bCs w:val="false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Ana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Neri,</w:t>
      </w:r>
      <w:r>
        <w:rPr>
          <w:rFonts w:ascii="Arial" w:hAnsi="Arial"/>
          <w:b w:val="false"/>
          <w:bCs w:val="false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na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esquina</w:t>
      </w:r>
      <w:r>
        <w:rPr>
          <w:rFonts w:ascii="Arial" w:hAnsi="Arial"/>
          <w:b w:val="false"/>
          <w:bCs w:val="false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casa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397, no Bairro Webers. Autores: Edivan Baron, Diego Maciel, Flavio Habitzreiter, Gilmar Maier,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Luis</w:t>
      </w:r>
      <w:r>
        <w:rPr>
          <w:rFonts w:ascii="Arial" w:hAnsi="Arial"/>
          <w:b w:val="false"/>
          <w:bCs w:val="false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Silva,</w:t>
      </w:r>
      <w:r>
        <w:rPr>
          <w:rFonts w:ascii="Arial" w:hAnsi="Arial"/>
          <w:b w:val="false"/>
          <w:bCs w:val="false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Paulo</w:t>
      </w:r>
      <w:r>
        <w:rPr>
          <w:rFonts w:ascii="Arial" w:hAnsi="Arial"/>
          <w:b w:val="false"/>
          <w:bCs w:val="false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Sattler,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Tipo: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Leitura,</w:t>
      </w:r>
      <w:r>
        <w:rPr>
          <w:rFonts w:ascii="Arial" w:hAnsi="Arial"/>
          <w:b w:val="false"/>
          <w:bCs w:val="false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Resultado: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Matéria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lida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.</w:t>
      </w:r>
    </w:p>
    <w:p>
      <w:pPr>
        <w:pStyle w:val="Corpodotexto"/>
        <w:spacing w:lineRule="auto" w:line="240" w:before="197" w:after="0"/>
        <w:ind w:left="119" w:right="11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 w:val="false"/>
          <w:spacing w:val="3"/>
          <w:w w:val="115"/>
          <w:sz w:val="24"/>
          <w:szCs w:val="24"/>
        </w:rPr>
        <w:t>Tribuna Popular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 xml:space="preserve">: 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s professoras Dani Morais e Fernanda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Weber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UERGS</w:t>
      </w:r>
      <w:r>
        <w:rPr>
          <w:rFonts w:ascii="Arial" w:hAnsi="Arial"/>
          <w:b w:val="false"/>
          <w:bCs w:val="false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ﬁzeram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o</w:t>
      </w:r>
      <w:r>
        <w:rPr>
          <w:rFonts w:ascii="Arial" w:hAnsi="Arial"/>
          <w:b w:val="false"/>
          <w:bCs w:val="false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convite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para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o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1</w:t>
      </w:r>
      <w:r>
        <w:rPr>
          <w:rFonts w:ascii="Arial" w:hAnsi="Arial"/>
          <w:b w:val="false"/>
          <w:bCs w:val="false"/>
          <w:strike/>
          <w:spacing w:val="3"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Simpósio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Solo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Água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Região</w:t>
      </w:r>
      <w:r>
        <w:rPr>
          <w:rFonts w:ascii="Arial" w:hAnsi="Arial"/>
          <w:b w:val="false"/>
          <w:bCs w:val="false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Celeiro,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a realizar-se no dia 22/3/2024, no CTG Missioneiro dos Pampas, durante a realização da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17</w:t>
      </w:r>
      <w:r>
        <w:rPr>
          <w:rFonts w:ascii="Arial" w:hAnsi="Arial"/>
          <w:b w:val="false"/>
          <w:bCs w:val="false"/>
          <w:strike/>
          <w:spacing w:val="3"/>
          <w:w w:val="115"/>
          <w:sz w:val="24"/>
          <w:szCs w:val="24"/>
        </w:rPr>
        <w:t>ª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FEICAP.</w:t>
      </w:r>
    </w:p>
    <w:p>
      <w:pPr>
        <w:pStyle w:val="Corpodotexto"/>
        <w:ind w:left="119" w:right="118" w:hanging="0"/>
        <w:jc w:val="both"/>
        <w:rPr>
          <w:rFonts w:ascii="Arial" w:hAnsi="Arial"/>
          <w:b w:val="false"/>
          <w:b w:val="false"/>
          <w:bCs w:val="false"/>
          <w:spacing w:val="3"/>
          <w:w w:val="115"/>
          <w:sz w:val="24"/>
          <w:szCs w:val="24"/>
        </w:rPr>
      </w:pP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</w:r>
    </w:p>
    <w:p>
      <w:pPr>
        <w:pStyle w:val="Corpodotexto"/>
        <w:spacing w:lineRule="auto" w:line="240"/>
        <w:ind w:left="12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Dia: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 Autoriza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recebimento de bem imóvel pelo Município de Três Passos, a título de doação. Autor: 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 Tomazoni - Prefeito Municipal, Número de Protocolo: 14, Tipo: Simbólica, Sim: 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Não: 0, Abstenções: 0, Resultado da Votação: Aprovado por unanimidade; </w:t>
      </w:r>
      <w:r>
        <w:rPr>
          <w:rFonts w:ascii="Arial" w:hAnsi="Arial"/>
          <w:b/>
          <w:w w:val="115"/>
          <w:sz w:val="24"/>
          <w:szCs w:val="24"/>
        </w:rPr>
        <w:t>2 - Requerimento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8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 Requer o encaminhamento de ofício ao Sr. Gilberto Knorst, Coordenador Geral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Consórcio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Gestão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Multifuncional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CITEGEM,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solicitando,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complementação à resposta ao Requerimento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 xml:space="preserve">1 </w:t>
      </w:r>
      <w:r>
        <w:rPr>
          <w:rFonts w:ascii="Arial" w:hAnsi="Arial"/>
          <w:w w:val="115"/>
          <w:sz w:val="24"/>
          <w:szCs w:val="24"/>
        </w:rPr>
        <w:t>de 2024, as seguintes informações: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quantidade,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 quilos,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 foi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vendida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material,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nos últimos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seis  meses,  bem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respectivas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notas ﬁscais.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  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 da Votação: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unanimidade;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 Requer o envio de ofício à Comissão Organizadora da 17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w w:val="115"/>
          <w:sz w:val="24"/>
          <w:szCs w:val="24"/>
        </w:rPr>
        <w:t xml:space="preserve"> FEICAP, solicitando que a Feira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distribua água potável gratuitamente aos seu frequentadores, especialmente nas áreas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shows, em atendimento à Portaria GAB-SENACON/MJSP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35, de 18 de novembro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2023. Autores: Diego Maciel, Edivan Baron, Flavio Habitzreiter, Gilmar Maier, Luis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 Paulo Sattler, Tipo: Simbólica, Sim: 10, Não: 0, Abstenções: 0, Resultado da votação: Aprovado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unanimidade;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  de  2024</w:t>
      </w:r>
      <w:r>
        <w:rPr>
          <w:rFonts w:ascii="Arial" w:hAnsi="Arial"/>
          <w:w w:val="115"/>
          <w:sz w:val="24"/>
          <w:szCs w:val="24"/>
        </w:rPr>
        <w:t>,  Autoriza  o  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 a repassar recursos ﬁnanceiros ao Hospital de Caridade de Três Passos para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gerenciamento e execução do programa SAMU/SALVAR. Autor: Arlei Luis Tomazoni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Prefeito Municipal, Número de Protocolo: 18, 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3"/>
          <w:w w:val="115"/>
          <w:sz w:val="24"/>
          <w:szCs w:val="24"/>
        </w:rPr>
        <w:t xml:space="preserve"> discutida previamente. </w:t>
      </w:r>
    </w:p>
    <w:p>
      <w:pPr>
        <w:pStyle w:val="Corpodotexto"/>
        <w:spacing w:lineRule="auto" w:line="240"/>
        <w:ind w:left="12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2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O</w:t>
      </w:r>
      <w:r>
        <w:rPr>
          <w:rFonts w:ascii="Arial" w:hAnsi="Arial"/>
          <w:b/>
          <w:w w:val="110"/>
          <w:sz w:val="24"/>
          <w:szCs w:val="24"/>
        </w:rPr>
        <w:t>radores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do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 xml:space="preserve">Expediente:  1  </w:t>
      </w:r>
      <w:r>
        <w:rPr>
          <w:rFonts w:ascii="Arial" w:hAnsi="Arial"/>
          <w:w w:val="110"/>
          <w:sz w:val="24"/>
          <w:szCs w:val="24"/>
        </w:rPr>
        <w:t>- Diego 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 xml:space="preserve">PT ; </w:t>
      </w:r>
      <w:r>
        <w:rPr>
          <w:rFonts w:ascii="Arial" w:hAnsi="Arial"/>
          <w:b/>
          <w:w w:val="110"/>
          <w:sz w:val="24"/>
          <w:szCs w:val="24"/>
        </w:rPr>
        <w:t xml:space="preserve">2  </w:t>
      </w:r>
      <w:r>
        <w:rPr>
          <w:rFonts w:ascii="Arial" w:hAnsi="Arial"/>
          <w:w w:val="110"/>
          <w:sz w:val="24"/>
          <w:szCs w:val="24"/>
        </w:rPr>
        <w:t>- Ingomar Sandtner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spacing w:val="48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PSDB; </w:t>
      </w:r>
      <w:r>
        <w:rPr>
          <w:rFonts w:ascii="Arial" w:hAnsi="Arial"/>
          <w:b/>
          <w:w w:val="110"/>
          <w:sz w:val="24"/>
          <w:szCs w:val="24"/>
        </w:rPr>
        <w:t xml:space="preserve">3  </w:t>
      </w:r>
      <w:r>
        <w:rPr>
          <w:rFonts w:ascii="Arial" w:hAnsi="Arial"/>
          <w:w w:val="110"/>
          <w:sz w:val="24"/>
          <w:szCs w:val="24"/>
        </w:rPr>
        <w:t>- João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Boll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 xml:space="preserve">PP; </w:t>
      </w:r>
      <w:r>
        <w:rPr>
          <w:rFonts w:ascii="Arial" w:hAnsi="Arial"/>
          <w:b/>
          <w:w w:val="110"/>
          <w:sz w:val="24"/>
          <w:szCs w:val="24"/>
        </w:rPr>
        <w:t xml:space="preserve">4 </w:t>
      </w:r>
      <w:r>
        <w:rPr>
          <w:rFonts w:ascii="Arial" w:hAnsi="Arial"/>
          <w:w w:val="110"/>
          <w:sz w:val="24"/>
          <w:szCs w:val="24"/>
        </w:rPr>
        <w:t>- Nader Umar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 xml:space="preserve">PSDB; </w:t>
      </w:r>
      <w:r>
        <w:rPr>
          <w:rFonts w:ascii="Arial" w:hAnsi="Arial"/>
          <w:b/>
          <w:w w:val="110"/>
          <w:sz w:val="24"/>
          <w:szCs w:val="24"/>
        </w:rPr>
        <w:t xml:space="preserve">5 </w:t>
      </w:r>
      <w:r>
        <w:rPr>
          <w:rFonts w:ascii="Arial" w:hAnsi="Arial"/>
          <w:w w:val="110"/>
          <w:sz w:val="24"/>
          <w:szCs w:val="24"/>
        </w:rPr>
        <w:t>- Paulo 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 xml:space="preserve">PDT; </w:t>
      </w:r>
      <w:r>
        <w:rPr>
          <w:rFonts w:ascii="Arial" w:hAnsi="Arial"/>
          <w:b/>
          <w:w w:val="110"/>
          <w:sz w:val="24"/>
          <w:szCs w:val="24"/>
        </w:rPr>
        <w:t xml:space="preserve">6 </w:t>
      </w:r>
      <w:r>
        <w:rPr>
          <w:rFonts w:ascii="Arial" w:hAnsi="Arial"/>
          <w:w w:val="110"/>
          <w:sz w:val="24"/>
          <w:szCs w:val="24"/>
        </w:rPr>
        <w:t>- Luis da Silva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 xml:space="preserve">PTB; </w:t>
      </w:r>
      <w:r>
        <w:rPr>
          <w:rFonts w:ascii="Arial" w:hAnsi="Arial"/>
          <w:b/>
          <w:w w:val="110"/>
          <w:sz w:val="24"/>
          <w:szCs w:val="24"/>
        </w:rPr>
        <w:t xml:space="preserve">7 </w:t>
      </w:r>
      <w:r>
        <w:rPr>
          <w:rFonts w:ascii="Arial" w:hAnsi="Arial"/>
          <w:w w:val="110"/>
          <w:sz w:val="24"/>
          <w:szCs w:val="24"/>
        </w:rPr>
        <w:t>- Jair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Locatelli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 xml:space="preserve">PSDB. </w:t>
      </w:r>
    </w:p>
    <w:p>
      <w:pPr>
        <w:pStyle w:val="Corpodotexto"/>
        <w:spacing w:before="3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17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</w:t>
      </w:r>
      <w:r>
        <w:rPr>
          <w:rFonts w:ascii="Arial" w:hAnsi="Arial"/>
          <w:b/>
          <w:bCs/>
          <w:sz w:val="24"/>
          <w:szCs w:val="24"/>
        </w:rPr>
        <w:t>onvocação para sessões plenárias extraordinárias:</w:t>
      </w:r>
      <w:r>
        <w:rPr>
          <w:rFonts w:ascii="Arial" w:hAnsi="Arial"/>
          <w:sz w:val="24"/>
          <w:szCs w:val="24"/>
        </w:rPr>
        <w:t xml:space="preserve"> para os dias 12/3/2024 e 14/3/2024, às 18h, a ﬁm de fazer a leitura e deliberação do projeto de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15 de 2024 - Altera a Lei Municipal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5.801 de 2022, que autoriza o Poder Executivo a proceder na contratação emergencial de cinco agentes comunitários de saúde.</w:t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jc w:val="both"/>
        <w:rPr>
          <w:rFonts w:ascii="Arial" w:hAnsi="Arial"/>
          <w:w w:val="115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</w:r>
    </w:p>
    <w:p>
      <w:pPr>
        <w:pStyle w:val="Corpodotexto"/>
        <w:spacing w:lineRule="auto" w:line="240" w:before="0" w:after="0"/>
        <w:ind w:left="12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  <w:tab/>
        <w:t>Flavio Habitzreiter</w:t>
        <w:tab/>
        <w:tab/>
        <w:tab/>
        <w:tab/>
        <w:tab/>
        <w:t xml:space="preserve"> Gilmar Maier</w:t>
      </w:r>
    </w:p>
    <w:p>
      <w:pPr>
        <w:pStyle w:val="Corpodotexto"/>
        <w:spacing w:lineRule="auto" w:line="240" w:before="0" w:after="0"/>
        <w:ind w:left="12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  <w:tab/>
        <w:t xml:space="preserve">    Presidente</w:t>
        <w:tab/>
        <w:tab/>
        <w:tab/>
        <w:tab/>
        <w:tab/>
        <w:tab/>
        <w:t xml:space="preserve">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gutter="0" w:header="807" w:top="2020" w:footer="907" w:bottom="110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14840 w 2812320"/>
                          <a:gd name="textAreaTop" fmla="*/ 0 h 5400"/>
                          <a:gd name="textAreaBottom" fmla="*/ 7920 h 5400"/>
                        </a:gdLst>
                        <a:ah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18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18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27/02/2024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01.95pt;margin-top:790.25pt;width:391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18" w:hanging="2000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18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27/02/2024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8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15</w:t>
                          </w: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/0</w:t>
                          </w: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3</w:t>
                          </w: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/2024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5.25pt;margin-top:822.5pt;width:48.05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15</w:t>
                    </w: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/0</w:t>
                    </w: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3</w:t>
                    </w: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/2024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0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03pt;margin-top:822.5pt;width:40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t>2</w: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2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794040 w 3791520"/>
                          <a:gd name="textAreaTop" fmla="*/ 0 h 5400"/>
                          <a:gd name="textAreaBottom" fmla="*/ 7920 h 5400"/>
                        </a:gdLst>
                        <a:ah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68.35pt;margin-top:50.95pt;width:302.6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Application>LibreOffice/7.4.2.3$Windows_X86_64 LibreOffice_project/382eef1f22670f7f4118c8c2dd222ec7ad009daf</Application>
  <AppVersion>15.0000</AppVersion>
  <Pages>4</Pages>
  <Words>1550</Words>
  <Characters>8372</Characters>
  <CharactersWithSpaces>9989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2024-02-27T13:34:37Z</dcterms:created>
  <dc:creator/>
  <dc:description/>
  <dc:language>pt-BR</dc:language>
  <cp:lastModifiedBy/>
  <dcterms:modified xsi:type="dcterms:W3CDTF">2024-03-15T15:59:31Z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LastSaved">
    <vt:filetime>2024-02-27T00:00:00Z</vt:filetime>
  </property>
  <property fmtid="{D5CDD505-2E9C-101B-9397-08002B2CF9AE}" pid="4" name="Producer">
    <vt:lpwstr>cairo 1.16.0 (https://cairographics.org)</vt:lpwstr>
  </property>
</Properties>
</file>