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13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ind w:left="119" w:right="12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 xml:space="preserve">Tipo de Sessão Ordinária </w:t>
      </w:r>
      <w:r>
        <w:rPr>
          <w:rFonts w:ascii="Arial" w:hAnsi="Arial"/>
          <w:w w:val="115"/>
          <w:sz w:val="24"/>
          <w:szCs w:val="24"/>
        </w:rPr>
        <w:t>Descentralizada, realizada no salão comunitário do Bairro Frei Olímpio</w:t>
      </w:r>
      <w:r>
        <w:rPr>
          <w:rFonts w:ascii="Arial" w:hAnsi="Arial"/>
          <w:w w:val="115"/>
          <w:sz w:val="24"/>
          <w:szCs w:val="24"/>
        </w:rPr>
        <w:t>; Abertura 29/4/2024 - 19h; Encerramento 29/4/2024 – 21h.</w:t>
      </w:r>
    </w:p>
    <w:p>
      <w:pPr>
        <w:pStyle w:val="Corpodotexto"/>
        <w:spacing w:lineRule="auto" w:line="240" w:before="201" w:after="0"/>
        <w:ind w:left="119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Habitzreiter/PP;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Baron/PCdoB;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 Roque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Marcia Andreia Benites Porto</w:t>
      </w:r>
      <w:r>
        <w:rPr>
          <w:rFonts w:ascii="Arial" w:hAnsi="Arial"/>
          <w:sz w:val="24"/>
          <w:szCs w:val="24"/>
        </w:rPr>
        <w:t>/PDT;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PSDB.</w:t>
      </w:r>
    </w:p>
    <w:p>
      <w:pPr>
        <w:pStyle w:val="Corpodotexto"/>
        <w:spacing w:lineRule="auto" w:line="240" w:before="1" w:after="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1" w:after="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 -</w:t>
      </w:r>
      <w:r>
        <w:rPr>
          <w:rFonts w:ascii="Arial" w:hAnsi="Arial"/>
          <w:w w:val="115"/>
          <w:sz w:val="24"/>
          <w:szCs w:val="24"/>
        </w:rPr>
        <w:t xml:space="preserve">  Ata  da  12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ordinária realizada em 22/4/2024 - aprovada. </w:t>
      </w:r>
      <w:r>
        <w:rPr>
          <w:rFonts w:ascii="Arial" w:hAnsi="Arial"/>
          <w:b/>
          <w:w w:val="115"/>
          <w:sz w:val="24"/>
          <w:szCs w:val="24"/>
        </w:rPr>
        <w:t>Correspondências Recebidas</w:t>
      </w:r>
      <w:r>
        <w:rPr>
          <w:rFonts w:ascii="Arial" w:hAnsi="Arial"/>
          <w:w w:val="115"/>
          <w:sz w:val="24"/>
          <w:szCs w:val="24"/>
        </w:rPr>
        <w:t>: Ofícios 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76/24 e 77/24, do Prefeito Municipal, respondendo à solicitação de informações 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27/24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29/24,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a redação ﬁnal do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23/24, e dos projetos de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5/24 e 6/24.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88/24, ao Prefeito Municipal, solicitando o envio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 Retiﬁcativa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26/24.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90/24, ao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40/24 a 43/24. 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91/24 a 94/24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98/24, ao Prefeito Municipal, encaminhando os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23/24 a 27/24.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94/24 e 96/24, à Igreja Assembleia de Deus a à APAE, encaminhando votos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louvor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Requerimentos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 de 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quatro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merendeiras.</w:t>
      </w:r>
    </w:p>
    <w:p>
      <w:pPr>
        <w:pStyle w:val="Corpodotexto"/>
        <w:spacing w:lineRule="auto" w:line="240" w:before="18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30  de  2024</w:t>
      </w:r>
      <w:r>
        <w:rPr>
          <w:rFonts w:ascii="Arial" w:hAnsi="Arial"/>
          <w:w w:val="115"/>
          <w:sz w:val="24"/>
          <w:szCs w:val="24"/>
        </w:rPr>
        <w:t>,  Autoriza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Eletricista.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47,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e distribuída às Comissões Permanentes -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da CCR João Boll </w:t>
      </w:r>
      <w:r>
        <w:rPr>
          <w:rFonts w:ascii="Arial" w:hAnsi="Arial"/>
          <w:w w:val="115"/>
          <w:sz w:val="24"/>
          <w:szCs w:val="24"/>
        </w:rPr>
        <w:t>e R</w:t>
      </w:r>
      <w:r>
        <w:rPr>
          <w:rFonts w:ascii="Arial" w:hAnsi="Arial"/>
          <w:w w:val="115"/>
          <w:sz w:val="24"/>
          <w:szCs w:val="24"/>
        </w:rPr>
        <w:t xml:space="preserve">elator da COF Edivan Baron.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Institui as comemorações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alusivas aos 80 anos do Município de Três Passos e dá outras providências.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46,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e distribuída às Comissões Permanentes - 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da CCR Diego Maciel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elatora da COF Daiana Bald.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32 de 2024</w:t>
      </w:r>
      <w:r>
        <w:rPr>
          <w:rFonts w:ascii="Arial" w:hAnsi="Arial"/>
          <w:w w:val="115"/>
          <w:sz w:val="24"/>
          <w:szCs w:val="24"/>
        </w:rPr>
        <w:t>, Autoriza alteração da LOA,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10.977,83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(Dez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novecentos e setenta e sete reais e oitenta e três centavos).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48, Tipo: Leitura, Resultado: Matéria lida e distribuída à Comissão de Orçamento e Finanças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elatora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w w:val="115"/>
          <w:sz w:val="24"/>
          <w:szCs w:val="24"/>
        </w:rPr>
        <w:t xml:space="preserve">COF Daiana Bald. </w:t>
      </w:r>
      <w:r>
        <w:rPr>
          <w:rFonts w:ascii="Arial" w:hAnsi="Arial"/>
          <w:b/>
          <w:w w:val="115"/>
          <w:sz w:val="24"/>
          <w:szCs w:val="24"/>
        </w:rPr>
        <w:t>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 Autoriza  o  Município  de  Três  Passos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 ﬁnanceiro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Amuceleiro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Presídio Estadual de Três Passos. Autor: Arlei Luis Tomazoni - Prefeito Municipal, Número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49, Tipo: Leitura, Resultado: Matéria lida e distribuída às Comissões Permanentes -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da CCR Nader Umar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da COF Edivan Baron.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16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assuntos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particular,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remuneração,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25-4-2024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6-5-2024.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lida.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Requerimento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17  de  2024</w:t>
      </w:r>
      <w:r>
        <w:rPr>
          <w:rFonts w:ascii="Arial" w:hAnsi="Arial"/>
          <w:w w:val="115"/>
          <w:sz w:val="24"/>
          <w:szCs w:val="24"/>
        </w:rPr>
        <w:t>, Requer licença para tratar de assuntos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interesse particular, sem remuneração, no período de 6 a 13 de maio de 2024.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João Boll,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7 -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44 de 2024</w:t>
      </w:r>
      <w:r>
        <w:rPr>
          <w:rFonts w:ascii="Arial" w:hAnsi="Arial"/>
          <w:w w:val="115"/>
          <w:sz w:val="24"/>
          <w:szCs w:val="24"/>
        </w:rPr>
        <w:t>, Sugere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 de reperﬁlamento na Rua Joaquim Nabuco, Bairro Operário. Autores: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 lida. </w:t>
      </w:r>
      <w:r>
        <w:rPr>
          <w:rFonts w:ascii="Arial" w:hAnsi="Arial"/>
          <w:b/>
          <w:w w:val="115"/>
          <w:sz w:val="24"/>
          <w:szCs w:val="24"/>
        </w:rPr>
        <w:t>8 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45</w:t>
      </w:r>
      <w:r>
        <w:rPr>
          <w:rFonts w:ascii="Arial" w:hAnsi="Arial"/>
          <w:b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calçamento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RuaJoaquim Nabuco, Bairro Operário. Autores: Flavio Habitzreiter, João Boll,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lida.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46  de  2024</w:t>
      </w:r>
      <w:r>
        <w:rPr>
          <w:rFonts w:ascii="Arial" w:hAnsi="Arial"/>
          <w:w w:val="115"/>
          <w:sz w:val="24"/>
          <w:szCs w:val="24"/>
        </w:rPr>
        <w:t>, Sugere a realização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reperﬁlamento na Rua Deolinda Petry, Bairro Operário. Autores: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João Boll, Luis da Silva,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10 -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47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Sugere a ampliação do número de vagas do cargo de monitor de escola.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Benites,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lida.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Sugere que a data de 20 de junho (dia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da Umbanda e Povos de Terreiros), após a promulgação e publicação da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6.056, de 23 de abril de 2024, seja incluída no calendário de eventos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 Marcia Benites,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ampliação da Unidade Básica de Saúde Sulsserra, Frei Olímpio. Autores: Marcia Benites,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Diego Maciel, Edivan Baron, Gilmar Maier,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13 -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24/24,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fumacê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combate 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mosquito da dengue. Autores: Flavio Habitzreiter, João Boll, Luis da Silva,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 de 2024</w:t>
      </w:r>
      <w:r>
        <w:rPr>
          <w:rFonts w:ascii="Arial" w:hAnsi="Arial"/>
          <w:w w:val="115"/>
          <w:sz w:val="24"/>
          <w:szCs w:val="24"/>
        </w:rPr>
        <w:t>,  Solicita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 de tubulação e reperﬁlamento na Rua Aloiso Werner, Bairro Operário.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Habitzreiter, João Boll, Luis da Silva,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15 -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21 de 2024</w:t>
      </w:r>
      <w:r>
        <w:rPr>
          <w:rFonts w:ascii="Arial" w:hAnsi="Arial"/>
          <w:w w:val="115"/>
          <w:sz w:val="24"/>
          <w:szCs w:val="24"/>
        </w:rPr>
        <w:t>, Solicita a instalação de piso de concreto onde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existem as novas paradas de ônibus que ainda não possuem tal infraestrutura, bem como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notiﬁcação da empresa responsável pelo fato de que tais paradas estão com problemas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parte da iluminação. Autores: Flavio Habitzreiter, João Boll, Luis da Silva,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22  de  2024</w:t>
      </w:r>
      <w:r>
        <w:rPr>
          <w:rFonts w:ascii="Arial" w:hAnsi="Arial"/>
          <w:w w:val="115"/>
          <w:sz w:val="24"/>
          <w:szCs w:val="24"/>
        </w:rPr>
        <w:t>,  Solicita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 de reforma no calçamento da Rua João de Deus Mena Barreto, com a esquina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Teixeira Nunes, em Padre Gonzales. Autores: Flavio Habitzreiter, João Boll,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lida.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 que o Município efetue um trabalho contínuo de manutenção na arborização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árvores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plantadas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últimos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Benites,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lineRule="auto" w:line="240" w:before="18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7"/>
          <w:w w:val="115"/>
          <w:sz w:val="24"/>
          <w:szCs w:val="24"/>
        </w:rPr>
        <w:t>Pronunciamento</w:t>
      </w:r>
      <w:r>
        <w:rPr>
          <w:rFonts w:ascii="Arial" w:hAnsi="Arial"/>
          <w:b/>
          <w:spacing w:val="7"/>
          <w:w w:val="115"/>
          <w:sz w:val="24"/>
          <w:szCs w:val="24"/>
        </w:rPr>
        <w:t>s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"/>
          <w:w w:val="115"/>
          <w:sz w:val="24"/>
          <w:szCs w:val="24"/>
        </w:rPr>
        <w:t>de r</w:t>
      </w:r>
      <w:r>
        <w:rPr>
          <w:rFonts w:ascii="Arial" w:hAnsi="Arial"/>
          <w:b/>
          <w:spacing w:val="7"/>
          <w:w w:val="115"/>
          <w:sz w:val="24"/>
          <w:szCs w:val="24"/>
        </w:rPr>
        <w:t>epresentantes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7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"/>
          <w:w w:val="115"/>
          <w:sz w:val="24"/>
          <w:szCs w:val="24"/>
        </w:rPr>
        <w:t>e</w:t>
      </w:r>
      <w:r>
        <w:rPr>
          <w:rFonts w:ascii="Arial" w:hAnsi="Arial"/>
          <w:b/>
          <w:spacing w:val="7"/>
          <w:w w:val="115"/>
          <w:sz w:val="24"/>
          <w:szCs w:val="24"/>
        </w:rPr>
        <w:t xml:space="preserve">ntidades: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representantes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comunidade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Frei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Olímpio, Senhora Neusa Marisa Weis da Silva, Presidenta do salão, e o morador Senhor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Luis Carlos Costa, falaram sobre as potencialidades do bairro, bem como apresentaram 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suas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reivindicações.</w:t>
      </w:r>
    </w:p>
    <w:p>
      <w:pPr>
        <w:pStyle w:val="Corpodotexto"/>
        <w:spacing w:lineRule="auto" w:line="240" w:before="18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6.050,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44,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extinção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0"/>
          <w:w w:val="115"/>
          <w:sz w:val="24"/>
          <w:szCs w:val="24"/>
        </w:rPr>
        <w:t xml:space="preserve"> 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26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5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5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5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5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quatro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merendeiras.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 xml:space="preserve">4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29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6.052,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seis agentes comunitários de saúde. Autor: Arlei Luis Tomazoni - Prefeito Municipal,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Protocolo: 45,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discutida previamente. </w:t>
      </w:r>
    </w:p>
    <w:p>
      <w:pPr>
        <w:pStyle w:val="Corpodotexto"/>
        <w:spacing w:lineRule="auto" w:line="240"/>
        <w:ind w:left="120" w:right="110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1" w:after="0"/>
        <w:ind w:left="12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5"/>
          <w:w w:val="115"/>
          <w:sz w:val="24"/>
          <w:szCs w:val="24"/>
        </w:rPr>
        <w:t>Indicação do membro suplente da titular Daiana Bald da Comissão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5"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5"/>
          <w:w w:val="115"/>
          <w:sz w:val="24"/>
          <w:szCs w:val="24"/>
        </w:rPr>
        <w:t>Orçamento</w:t>
      </w:r>
      <w:r>
        <w:rPr>
          <w:rFonts w:ascii="Arial" w:hAnsi="Arial"/>
          <w:b/>
          <w:bCs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5"/>
          <w:w w:val="115"/>
          <w:sz w:val="24"/>
          <w:szCs w:val="24"/>
        </w:rPr>
        <w:t>e</w:t>
      </w:r>
      <w:r>
        <w:rPr>
          <w:rFonts w:ascii="Arial" w:hAnsi="Arial"/>
          <w:b/>
          <w:bCs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5"/>
          <w:w w:val="115"/>
          <w:sz w:val="24"/>
          <w:szCs w:val="24"/>
        </w:rPr>
        <w:t>Finanças</w:t>
      </w:r>
      <w:r>
        <w:rPr>
          <w:rFonts w:ascii="Arial" w:hAnsi="Arial"/>
          <w:spacing w:val="5"/>
          <w:w w:val="115"/>
          <w:sz w:val="24"/>
          <w:szCs w:val="24"/>
        </w:rPr>
        <w:t>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pacing w:val="5"/>
          <w:w w:val="115"/>
          <w:sz w:val="24"/>
          <w:szCs w:val="24"/>
        </w:rPr>
        <w:t>Ingomar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5"/>
          <w:w w:val="115"/>
          <w:sz w:val="24"/>
          <w:szCs w:val="24"/>
        </w:rPr>
        <w:t xml:space="preserve">Sandtner </w:t>
      </w:r>
      <w:r>
        <w:rPr>
          <w:rFonts w:ascii="Arial" w:hAnsi="Arial"/>
          <w:spacing w:val="5"/>
          <w:w w:val="115"/>
          <w:sz w:val="24"/>
          <w:szCs w:val="24"/>
        </w:rPr>
        <w:t>(PSDB).</w:t>
      </w:r>
    </w:p>
    <w:p>
      <w:pPr>
        <w:pStyle w:val="Corpodotexto"/>
        <w:spacing w:before="192" w:after="0"/>
        <w:ind w:left="120" w:right="145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Explicações  Pessoais: 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1 -  Flavio  Habitzreiter; 2-  Nader  Umar; 3 - Marcia Benites; 4- Gilmar Maier; 5- Luis da Silva; 6 - Diego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Maciel; 7 - Ingomar Sandtner; 8 - Edivan Baron; 9 -João Boll;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10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Daiana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Bald.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w w:val="115"/>
        </w:rPr>
      </w:pPr>
      <w:r>
        <w:rPr/>
      </w:r>
    </w:p>
    <w:p>
      <w:pPr>
        <w:pStyle w:val="Normal"/>
        <w:spacing w:before="0" w:after="0"/>
        <w:ind w:left="119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Normal"/>
        <w:spacing w:before="0" w:after="0"/>
        <w:ind w:left="119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9520 w 2812320"/>
                          <a:gd name="textAreaTop" fmla="*/ 0 h 5400"/>
                          <a:gd name="textAreaBottom" fmla="*/ 1440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27/02/2024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27/02/2024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3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5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8720 w 3791520"/>
                          <a:gd name="textAreaTop" fmla="*/ 0 h 5400"/>
                          <a:gd name="textAreaBottom" fmla="*/ 1440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LibreOffice/7.4.2.3$Windows_X86_64 LibreOffice_project/382eef1f22670f7f4118c8c2dd222ec7ad009daf</Application>
  <AppVersion>15.0000</AppVersion>
  <Pages>3</Pages>
  <Words>1419</Words>
  <Characters>7578</Characters>
  <CharactersWithSpaces>9053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2024-05-06T09:59:41Z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