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b/>
          <w:bCs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Ata Eletrônica da 2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Extraordinária da 2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Legislatura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Identificação Básica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Tipo de Sessão Extraordinária; Abertura 4/2/2026 - 19h; Encerramento 4/2/2026 – 19h3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0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min.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Mesa Diretora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Presidente Maria Helena Gehlen Krummenauer/MDB; Vice-Presidente Dauri Lair Morgenstern/MDB; Primeira Secretária Rosana Heloisa Schumann Scherer/PL.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Lista de Presença na Sessão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Dauri Lair Morgenstern/MDB; Diego Hider Maciel/PT; Flavio Habitzreiter/PP; Ingomar Sandtner/PSDB; Luis Carlos Costa/PP; Luis da Silva/PP; Maria Helena Gehlen Krummenauer/MDB; Osvaldir José Urnau/PSDB; Paulo Gilceu Sattler/PDT; Rosana Heloisa Schumann Scherer/PL; Sandro Geovani Radaelli/PT.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Expediente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>Correspondências Expedidas -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12/2026, aos vereadores, contendo convocação de sessão plenária extraordinária para a data de 4/2/2026, às 19h, para leitura e discussão prévia da Emenda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1/2026, relativa ao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136, de 2025.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Matéria do Expediente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1 - Emenda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1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Emenda modificativa ao projeto de lei n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136, de 2025, que autoriza o Poder Executivo a adquirir imóveis de propriedade de Bom Plano Imóveis Ltda-ME. Autor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Paulo Sattler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 Diego Maciel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Tipo: Leitura, Resultado: Matéria lida, discutida previamente e distribuída às Comissões Permanentes – Relator da CCJ Flavio Habitzreiter e Relator da COF Osvaldir Urnau.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Maria Helena Gehlen Krummenauer</w:t>
        <w:tab/>
        <w:t>Rosana Heloisa Schumann Scherer</w:t>
        <w:tab/>
        <w:tab/>
        <w:tab/>
        <w:t>Presidente</w:t>
        <w:tab/>
        <w:tab/>
        <w:tab/>
        <w:tab/>
        <w:t>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00" w:gutter="0" w:header="807" w:top="2020" w:footer="871" w:bottom="10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5200 w 2812320"/>
                          <a:gd name="textAreaTop" fmla="*/ 0 h 5400"/>
                          <a:gd name="textAreaBottom" fmla="*/ 82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13/1/2025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13/1/2025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5200 w 2812320"/>
                          <a:gd name="textAreaTop" fmla="*/ 0 h 5400"/>
                          <a:gd name="textAreaBottom" fmla="*/ 82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13/1/2025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13/1/2025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4400 w 3791520"/>
                          <a:gd name="textAreaTop" fmla="*/ 0 h 5400"/>
                          <a:gd name="textAreaBottom" fmla="*/ 82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4400 w 3791520"/>
                          <a:gd name="textAreaTop" fmla="*/ 0 h 5400"/>
                          <a:gd name="textAreaBottom" fmla="*/ 82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LibreOffice/25.2.7.2$Windows_X86_64 LibreOffice_project/5cbfd1ab6520636bb5f7b99185aa69bd7456825d</Application>
  <AppVersion>15.0000</AppVersion>
  <Pages>1</Pages>
  <Words>261</Words>
  <Characters>1653</Characters>
  <CharactersWithSpaces>1902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2024-02-16T14:30:06Z</dcterms:created>
  <dc:creator/>
  <dc:description/>
  <dc:language>pt-BR</dc:language>
  <cp:lastModifiedBy/>
  <dcterms:modified xsi:type="dcterms:W3CDTF">2026-02-06T10:04:03Z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  <property fmtid="{D5CDD505-2E9C-101B-9397-08002B2CF9AE}" pid="4" name="Producer">
    <vt:lpwstr>cairo 1.16.0 (https://cairographics.org)</vt:lpwstr>
  </property>
</Properties>
</file>